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DE10DB" w14:textId="77777777" w:rsidR="00F57337" w:rsidRPr="00841714" w:rsidRDefault="00F57337" w:rsidP="006C4990">
      <w:pPr>
        <w:keepNext/>
        <w:tabs>
          <w:tab w:val="left" w:pos="3686"/>
        </w:tabs>
        <w:overflowPunct w:val="0"/>
        <w:autoSpaceDE w:val="0"/>
        <w:autoSpaceDN w:val="0"/>
        <w:adjustRightInd w:val="0"/>
        <w:spacing w:line="276" w:lineRule="auto"/>
        <w:jc w:val="both"/>
        <w:outlineLvl w:val="1"/>
        <w:rPr>
          <w:rFonts w:cs="Tahoma"/>
          <w:b/>
          <w:szCs w:val="20"/>
          <w:lang w:val="x-none" w:eastAsia="x-none"/>
        </w:rPr>
      </w:pPr>
      <w:r w:rsidRPr="00841714">
        <w:rPr>
          <w:rFonts w:cs="Tahoma"/>
          <w:b/>
          <w:szCs w:val="20"/>
          <w:lang w:val="x-none" w:eastAsia="x-none"/>
        </w:rPr>
        <w:t>PRESSE</w:t>
      </w:r>
      <w:r w:rsidR="0065356A">
        <w:rPr>
          <w:rFonts w:cs="Tahoma"/>
          <w:b/>
          <w:szCs w:val="20"/>
          <w:lang w:eastAsia="x-none"/>
        </w:rPr>
        <w:t>INFORMATION</w:t>
      </w:r>
    </w:p>
    <w:p w14:paraId="76400E9F" w14:textId="77777777" w:rsidR="00102A96" w:rsidRDefault="00102A96" w:rsidP="00102A96">
      <w:pPr>
        <w:pStyle w:val="berschrift1"/>
        <w:rPr>
          <w:lang w:val="de-DE"/>
        </w:rPr>
      </w:pPr>
      <w:bookmarkStart w:id="0" w:name="_GoBack"/>
      <w:bookmarkEnd w:id="0"/>
      <w:r>
        <w:rPr>
          <w:lang w:val="de-DE"/>
        </w:rPr>
        <w:t>Bund übernimmt Förderung des Sachverständigenrats für Integration und Migration</w:t>
      </w:r>
    </w:p>
    <w:p w14:paraId="1584F223" w14:textId="77777777" w:rsidR="006C4990" w:rsidRDefault="00195156" w:rsidP="00230FD4">
      <w:pPr>
        <w:jc w:val="both"/>
        <w:rPr>
          <w:rFonts w:cs="Tahoma"/>
          <w:b/>
        </w:rPr>
      </w:pPr>
      <w:r>
        <w:rPr>
          <w:rFonts w:cs="Tahoma"/>
          <w:b/>
        </w:rPr>
        <w:t xml:space="preserve">Der Sachverständigenrat deutscher Stiftungen für Integration und Migration (SVR) setzt ab Januar 2021 seine Arbeit als Sachverständigenrat für Integration und Migration fort. Das Bundeskabinett hat am 2. Dezember 2020 einen entsprechenden Einrichtungserlass beschlossen. Damit einher geht der vollständige Übergang des SVR in die institutionelle Förderung des Bundes. </w:t>
      </w:r>
    </w:p>
    <w:p w14:paraId="4408D1A4" w14:textId="77777777" w:rsidR="00A05E5F" w:rsidRDefault="003D6BCC" w:rsidP="00A05E5F">
      <w:pPr>
        <w:jc w:val="both"/>
        <w:rPr>
          <w:bCs/>
        </w:rPr>
      </w:pPr>
      <w:r>
        <w:rPr>
          <w:b/>
        </w:rPr>
        <w:t xml:space="preserve">Berlin, </w:t>
      </w:r>
      <w:r w:rsidR="00195156">
        <w:rPr>
          <w:b/>
        </w:rPr>
        <w:t>16. Dezember 2020</w:t>
      </w:r>
      <w:r w:rsidR="00F57337">
        <w:rPr>
          <w:b/>
        </w:rPr>
        <w:t>.</w:t>
      </w:r>
      <w:r w:rsidR="006C4990">
        <w:rPr>
          <w:b/>
        </w:rPr>
        <w:t xml:space="preserve"> </w:t>
      </w:r>
      <w:r w:rsidR="00821FB2">
        <w:rPr>
          <w:bCs/>
        </w:rPr>
        <w:t xml:space="preserve">2008 </w:t>
      </w:r>
      <w:r w:rsidR="00230FD4">
        <w:rPr>
          <w:bCs/>
        </w:rPr>
        <w:t xml:space="preserve">gründeten </w:t>
      </w:r>
      <w:r w:rsidR="00821FB2">
        <w:rPr>
          <w:bCs/>
        </w:rPr>
        <w:t xml:space="preserve">acht private Stiftungen </w:t>
      </w:r>
      <w:r w:rsidR="00230FD4">
        <w:rPr>
          <w:bCs/>
        </w:rPr>
        <w:t xml:space="preserve">auf Initiative der Stiftung Mercator und der VolkswagenStiftung </w:t>
      </w:r>
      <w:r w:rsidR="00821FB2">
        <w:rPr>
          <w:bCs/>
        </w:rPr>
        <w:t>den Sachverständigenrat deutscher Stiftungen für Integration und Migration</w:t>
      </w:r>
      <w:r w:rsidR="00DD1A62">
        <w:rPr>
          <w:bCs/>
        </w:rPr>
        <w:t xml:space="preserve">. </w:t>
      </w:r>
      <w:r w:rsidR="00295D14" w:rsidRPr="00295D14">
        <w:rPr>
          <w:bCs/>
        </w:rPr>
        <w:t xml:space="preserve">Der Initiative lag der Befund zu Grunde, dass es einer </w:t>
      </w:r>
      <w:r w:rsidR="00295D14" w:rsidRPr="005F04F1">
        <w:rPr>
          <w:bCs/>
        </w:rPr>
        <w:t xml:space="preserve">unabhängigen Institution der wissenschaftlichen Politikberatung in diesem komplexen und emotionalisierten Themenfeld bedarf. </w:t>
      </w:r>
    </w:p>
    <w:p w14:paraId="2849DB25" w14:textId="2506A1DB" w:rsidR="00821FB2" w:rsidRDefault="00494A8F" w:rsidP="00A05E5F">
      <w:pPr>
        <w:jc w:val="both"/>
        <w:rPr>
          <w:bCs/>
        </w:rPr>
      </w:pPr>
      <w:r w:rsidRPr="005F04F1">
        <w:rPr>
          <w:bCs/>
        </w:rPr>
        <w:t>Rüdiger Frohn, der Vorsitzende des SVR-Kuratoriums, rekapituliert die Ausgangslage: „</w:t>
      </w:r>
      <w:r w:rsidR="005F04F1" w:rsidRPr="005F04F1">
        <w:rPr>
          <w:bCs/>
        </w:rPr>
        <w:t xml:space="preserve">Wir waren der Auffassung, dass in Deutschland ein unabhängiges, interdisziplinär arbeitendes wissenschaftliches Beratungsorgan für die Integrations- und Migrationspolitik fehlte, und darauf wollten wir mit der Bezeichnung </w:t>
      </w:r>
      <w:r w:rsidR="009D24E1">
        <w:rPr>
          <w:bCs/>
        </w:rPr>
        <w:t>‚</w:t>
      </w:r>
      <w:r w:rsidR="005F04F1" w:rsidRPr="005F04F1">
        <w:rPr>
          <w:bCs/>
        </w:rPr>
        <w:t>Sachverständigenrat</w:t>
      </w:r>
      <w:r w:rsidR="009D24E1">
        <w:rPr>
          <w:bCs/>
        </w:rPr>
        <w:t>‘</w:t>
      </w:r>
      <w:r w:rsidR="005F04F1" w:rsidRPr="005F04F1">
        <w:rPr>
          <w:bCs/>
        </w:rPr>
        <w:t xml:space="preserve"> aufmerksam machen. </w:t>
      </w:r>
      <w:r w:rsidR="0098650C" w:rsidRPr="005F04F1">
        <w:rPr>
          <w:bCs/>
        </w:rPr>
        <w:t>Dieses Feld der Politik war stark</w:t>
      </w:r>
      <w:r w:rsidR="0098650C" w:rsidRPr="0098650C">
        <w:rPr>
          <w:bCs/>
        </w:rPr>
        <w:t xml:space="preserve"> von ideologischen Überzeugungen und Vorurteilen und weniger von wissenschaftlicher Evidenz bestimmt.</w:t>
      </w:r>
      <w:r w:rsidR="0098650C">
        <w:rPr>
          <w:bCs/>
        </w:rPr>
        <w:t xml:space="preserve"> </w:t>
      </w:r>
      <w:r w:rsidR="0098650C" w:rsidRPr="0098650C">
        <w:rPr>
          <w:bCs/>
        </w:rPr>
        <w:t>Das wollten wir ändern. Wir waren davon überzeugt: Gute Wissenschaft kann helfen, bessere Politik zu machen.“</w:t>
      </w:r>
      <w:r w:rsidR="00295D14">
        <w:rPr>
          <w:bCs/>
        </w:rPr>
        <w:t xml:space="preserve"> </w:t>
      </w:r>
      <w:r w:rsidR="00295D14">
        <w:t xml:space="preserve">Das hat </w:t>
      </w:r>
      <w:r w:rsidR="004E1FC7">
        <w:t xml:space="preserve">nach Einschätzung des SVR-Kuratoriumsvorsitzenden </w:t>
      </w:r>
      <w:r w:rsidR="00295D14">
        <w:t>funktioniert: Der SVR ha</w:t>
      </w:r>
      <w:r w:rsidR="004E1FC7">
        <w:t>be</w:t>
      </w:r>
      <w:r w:rsidR="00295D14">
        <w:t xml:space="preserve"> sich mit seiner ausgewiesenen Kompetenz als gefragte Instanz etabliert.</w:t>
      </w:r>
      <w:r w:rsidR="00230FD4">
        <w:rPr>
          <w:bCs/>
        </w:rPr>
        <w:t xml:space="preserve"> </w:t>
      </w:r>
    </w:p>
    <w:p w14:paraId="6A1696FF" w14:textId="77777777" w:rsidR="009D24E1" w:rsidRDefault="009D24E1" w:rsidP="00230FD4">
      <w:pPr>
        <w:jc w:val="both"/>
        <w:rPr>
          <w:bCs/>
        </w:rPr>
      </w:pPr>
      <w:r w:rsidRPr="009D24E1">
        <w:rPr>
          <w:bCs/>
        </w:rPr>
        <w:t xml:space="preserve">Zwölf Jahre später sei der Beratungsbedarf ungebrochen, so der stellvertretende SVR-Kuratoriumsvorsitzende Dr. Jörg Dräger, „und nun können wir den SVR in die staatliche Finanzierung übergeben und der Rat kann seine bewährte Arbeit fortsetzen“. Es entspreche dem Selbstverständnis von Stiftungen, dass sie als Impulsgeber für den sozialen Wandel bestehende Herausforderungen identifizieren und erfolgreiche Modelle für deren Bearbeitung erproben, nicht aber auf Dauer fördern. „Für uns ist der SVR ein Erfolgsmodell, und zwar in doppelter Hinsicht: als unabhängige Einrichtung wissenschaftsbasierter Politikberatung, aber auch als Gemeinschaftsinitiative von Stiftungen. Eine solche Allianz war damals ein Novum in der Stiftungslandschaft – heute hat sich auch dank des SVR die Überzeugung durchgesetzt, dass Stiftungen durch gemeinschaftliches Handeln mehr für die Gesellschaft erreichen können“, so Dräger weiter. </w:t>
      </w:r>
    </w:p>
    <w:p w14:paraId="3517D1E1" w14:textId="0F9B133A" w:rsidR="00230FD4" w:rsidRDefault="003E60DF" w:rsidP="003E60DF">
      <w:pPr>
        <w:jc w:val="both"/>
        <w:rPr>
          <w:bCs/>
        </w:rPr>
      </w:pPr>
      <w:r w:rsidRPr="003E60DF">
        <w:rPr>
          <w:bCs/>
        </w:rPr>
        <w:t xml:space="preserve">Das Bundeskabinett hat am 2. Dezember die Einrichtung eines Sachverständigenrats für Integration und Migration beschlossen, der als unabhängiges interdisziplinäres Gremium der wissenschaftlichen Politikberatung die Urteilsbildung der Bundesregierung sowie weiterer integrations- und migrationspolitisch verantwortlicher Instanzen und der Öffentlichkeit erleichtert. </w:t>
      </w:r>
      <w:r>
        <w:rPr>
          <w:bCs/>
        </w:rPr>
        <w:t>Mit diesem Erlass flankiert die Bundesregierung die institutionelle Förderung des SVR</w:t>
      </w:r>
      <w:r w:rsidR="00FA3562">
        <w:rPr>
          <w:bCs/>
        </w:rPr>
        <w:t xml:space="preserve">. Diese hat </w:t>
      </w:r>
      <w:r>
        <w:rPr>
          <w:bCs/>
        </w:rPr>
        <w:t xml:space="preserve">im Jahr 2020 bereits begonnen und </w:t>
      </w:r>
      <w:r w:rsidR="00FA3562">
        <w:rPr>
          <w:bCs/>
        </w:rPr>
        <w:t xml:space="preserve">schließt </w:t>
      </w:r>
      <w:r>
        <w:rPr>
          <w:bCs/>
        </w:rPr>
        <w:t>ab 2021 den gesamten SVR inklusive eines erweiterten wissenschaftlichen Stabs in der Geschäftsstelle ein</w:t>
      </w:r>
      <w:r w:rsidR="00FA3562">
        <w:rPr>
          <w:bCs/>
        </w:rPr>
        <w:t xml:space="preserve">. </w:t>
      </w:r>
      <w:r>
        <w:rPr>
          <w:bCs/>
        </w:rPr>
        <w:t>D</w:t>
      </w:r>
      <w:r w:rsidR="007366F2">
        <w:rPr>
          <w:bCs/>
        </w:rPr>
        <w:t>as</w:t>
      </w:r>
      <w:r>
        <w:rPr>
          <w:bCs/>
        </w:rPr>
        <w:t xml:space="preserve"> </w:t>
      </w:r>
      <w:r w:rsidR="007366F2">
        <w:rPr>
          <w:bCs/>
        </w:rPr>
        <w:t>Bundesministerium des Innern, für Bau und Heimat</w:t>
      </w:r>
      <w:r w:rsidR="009D24E1">
        <w:rPr>
          <w:bCs/>
        </w:rPr>
        <w:t xml:space="preserve"> (BMI) </w:t>
      </w:r>
      <w:r>
        <w:rPr>
          <w:bCs/>
        </w:rPr>
        <w:t>stellt hierfür im kommenden Jahr 2,0 Mio. Euro zur Verfügung. „Der Rat blei</w:t>
      </w:r>
      <w:r w:rsidR="00794386">
        <w:rPr>
          <w:bCs/>
        </w:rPr>
        <w:t>b</w:t>
      </w:r>
      <w:r>
        <w:rPr>
          <w:bCs/>
        </w:rPr>
        <w:t>t in seiner Tätigkeit unabhängig, das hält der Erlass ausdrücklich fest, und das war uns wie dem SVR und den Stiftungen besonders wichtig. Denn nur ein unabhängiger SVR ist ein guter Ratgeber</w:t>
      </w:r>
      <w:r w:rsidR="00295D14">
        <w:rPr>
          <w:bCs/>
        </w:rPr>
        <w:t>. Es</w:t>
      </w:r>
      <w:r>
        <w:rPr>
          <w:bCs/>
        </w:rPr>
        <w:t xml:space="preserve"> ist dann an der Politik zu entscheiden, ob sie Empfehlungen aufgreift oder nicht“</w:t>
      </w:r>
      <w:r w:rsidR="00FA3562">
        <w:rPr>
          <w:bCs/>
        </w:rPr>
        <w:t xml:space="preserve">, so Staatssekretär Dr. Markus Kerber </w:t>
      </w:r>
      <w:r w:rsidR="007366F2">
        <w:rPr>
          <w:bCs/>
        </w:rPr>
        <w:t>für das BMI</w:t>
      </w:r>
      <w:r w:rsidR="00FA3562">
        <w:rPr>
          <w:bCs/>
        </w:rPr>
        <w:t>.</w:t>
      </w:r>
    </w:p>
    <w:p w14:paraId="1CCB6ACD" w14:textId="77777777" w:rsidR="00A05E5F" w:rsidRDefault="00DD1A62" w:rsidP="004E1FC7">
      <w:pPr>
        <w:jc w:val="both"/>
        <w:rPr>
          <w:bCs/>
        </w:rPr>
      </w:pPr>
      <w:r>
        <w:rPr>
          <w:bCs/>
        </w:rPr>
        <w:t xml:space="preserve">Die SVR-Vorsitzende Prof. Dr. Petra Bendel dankt im Namen aller </w:t>
      </w:r>
      <w:r w:rsidR="00DE0F27">
        <w:rPr>
          <w:bCs/>
        </w:rPr>
        <w:t>jetzigen und früheren SVR-</w:t>
      </w:r>
      <w:r>
        <w:rPr>
          <w:bCs/>
        </w:rPr>
        <w:t xml:space="preserve">Mitglieder </w:t>
      </w:r>
      <w:r w:rsidR="00525FBE">
        <w:rPr>
          <w:bCs/>
        </w:rPr>
        <w:t xml:space="preserve">und Vorsitzenden </w:t>
      </w:r>
      <w:r>
        <w:rPr>
          <w:bCs/>
        </w:rPr>
        <w:t xml:space="preserve">den Stiftungen </w:t>
      </w:r>
      <w:r w:rsidR="002525DD">
        <w:rPr>
          <w:bCs/>
        </w:rPr>
        <w:t xml:space="preserve">für Vertrauen und langjährige Förderung sowie der Bundesregierung </w:t>
      </w:r>
      <w:r>
        <w:rPr>
          <w:bCs/>
        </w:rPr>
        <w:t xml:space="preserve">für </w:t>
      </w:r>
      <w:r w:rsidR="002525DD">
        <w:rPr>
          <w:bCs/>
        </w:rPr>
        <w:t>das Mandat, die Arbeit fortzusetzen. „</w:t>
      </w:r>
      <w:r>
        <w:rPr>
          <w:bCs/>
        </w:rPr>
        <w:t>Das Sachverständigengremium begreif</w:t>
      </w:r>
      <w:r w:rsidR="002525DD">
        <w:rPr>
          <w:bCs/>
        </w:rPr>
        <w:t>t</w:t>
      </w:r>
      <w:r>
        <w:rPr>
          <w:bCs/>
        </w:rPr>
        <w:t xml:space="preserve"> den Übergang in die staatliche </w:t>
      </w:r>
      <w:r w:rsidR="002525DD">
        <w:rPr>
          <w:bCs/>
        </w:rPr>
        <w:t xml:space="preserve">Förderung </w:t>
      </w:r>
      <w:r>
        <w:rPr>
          <w:bCs/>
        </w:rPr>
        <w:t xml:space="preserve">als Anerkennung der geleisteten Arbeit, aber auch als Verpflichtung, </w:t>
      </w:r>
      <w:r w:rsidR="002525DD">
        <w:rPr>
          <w:bCs/>
        </w:rPr>
        <w:t xml:space="preserve">seinen Bewertungen und Einschätzungen </w:t>
      </w:r>
      <w:r>
        <w:rPr>
          <w:bCs/>
        </w:rPr>
        <w:t>weiterhin allein wissenschaftliche Kriterien zugrunde zu legen.</w:t>
      </w:r>
      <w:r w:rsidR="002525DD">
        <w:rPr>
          <w:bCs/>
        </w:rPr>
        <w:t>“</w:t>
      </w:r>
      <w:r>
        <w:rPr>
          <w:bCs/>
        </w:rPr>
        <w:t xml:space="preserve"> </w:t>
      </w:r>
    </w:p>
    <w:p w14:paraId="4A6419DD" w14:textId="77777777" w:rsidR="00A05E5F" w:rsidRDefault="00A05E5F" w:rsidP="004E1FC7">
      <w:pPr>
        <w:jc w:val="both"/>
        <w:rPr>
          <w:bCs/>
        </w:rPr>
      </w:pPr>
    </w:p>
    <w:p w14:paraId="6DDB6DB7" w14:textId="3B702AE4" w:rsidR="003E60DF" w:rsidRDefault="00886861" w:rsidP="004E1FC7">
      <w:pPr>
        <w:jc w:val="both"/>
        <w:rPr>
          <w:bCs/>
        </w:rPr>
      </w:pPr>
      <w:r w:rsidRPr="00886861">
        <w:rPr>
          <w:bCs/>
        </w:rPr>
        <w:lastRenderedPageBreak/>
        <w:t>Gegenüber anderen wissenschaftsbasierten Institutionen – universitären</w:t>
      </w:r>
      <w:r w:rsidR="00525FBE">
        <w:rPr>
          <w:bCs/>
        </w:rPr>
        <w:t xml:space="preserve"> wie außeruniversitären</w:t>
      </w:r>
      <w:r w:rsidRPr="00886861">
        <w:rPr>
          <w:bCs/>
        </w:rPr>
        <w:t xml:space="preserve"> Forschungsinstitutionen, ressort- oder ressortforschungsähnlichen Einrichtungen </w:t>
      </w:r>
      <w:r w:rsidR="00525FBE" w:rsidRPr="00886861">
        <w:rPr>
          <w:bCs/>
        </w:rPr>
        <w:t>–</w:t>
      </w:r>
      <w:r w:rsidR="00525FBE">
        <w:rPr>
          <w:bCs/>
        </w:rPr>
        <w:t xml:space="preserve"> </w:t>
      </w:r>
      <w:r w:rsidRPr="00886861">
        <w:rPr>
          <w:bCs/>
        </w:rPr>
        <w:t>zeichne</w:t>
      </w:r>
      <w:r w:rsidR="009D24E1">
        <w:rPr>
          <w:bCs/>
        </w:rPr>
        <w:t>t</w:t>
      </w:r>
      <w:r w:rsidRPr="00886861">
        <w:rPr>
          <w:bCs/>
        </w:rPr>
        <w:t xml:space="preserve"> sich der SVR durch seine Ratsstruktur</w:t>
      </w:r>
      <w:r w:rsidR="00A87657">
        <w:rPr>
          <w:bCs/>
        </w:rPr>
        <w:t xml:space="preserve"> aus</w:t>
      </w:r>
      <w:r w:rsidRPr="00886861">
        <w:rPr>
          <w:bCs/>
        </w:rPr>
        <w:t>: Seine</w:t>
      </w:r>
      <w:r w:rsidR="00A87657">
        <w:rPr>
          <w:bCs/>
        </w:rPr>
        <w:t xml:space="preserve"> </w:t>
      </w:r>
      <w:r w:rsidRPr="00886861">
        <w:rPr>
          <w:bCs/>
        </w:rPr>
        <w:t>Mitglieder s</w:t>
      </w:r>
      <w:r w:rsidR="009D24E1">
        <w:rPr>
          <w:bCs/>
        </w:rPr>
        <w:t xml:space="preserve">tammen </w:t>
      </w:r>
      <w:r>
        <w:rPr>
          <w:bCs/>
        </w:rPr>
        <w:t xml:space="preserve">von verschiedenen </w:t>
      </w:r>
      <w:r w:rsidR="00525FBE">
        <w:rPr>
          <w:bCs/>
        </w:rPr>
        <w:t xml:space="preserve">Universitäten </w:t>
      </w:r>
      <w:r>
        <w:rPr>
          <w:bCs/>
        </w:rPr>
        <w:t xml:space="preserve">vorwiegend im Inland, zum Teil aber auch im Ausland, </w:t>
      </w:r>
      <w:r w:rsidR="009D24E1">
        <w:rPr>
          <w:bCs/>
        </w:rPr>
        <w:t xml:space="preserve">sind </w:t>
      </w:r>
      <w:r w:rsidR="00A87657">
        <w:rPr>
          <w:bCs/>
        </w:rPr>
        <w:t xml:space="preserve">auf Zeit berufen und erstellen </w:t>
      </w:r>
      <w:r w:rsidRPr="00886861">
        <w:rPr>
          <w:bCs/>
        </w:rPr>
        <w:t xml:space="preserve">kollegial verantwortete Gutachten und Stellungnahmen. Seine Produkte, allen voran das Jahresgutachten und das </w:t>
      </w:r>
      <w:r w:rsidR="00DE0F27">
        <w:rPr>
          <w:bCs/>
        </w:rPr>
        <w:t xml:space="preserve">vor kurzem </w:t>
      </w:r>
      <w:r w:rsidRPr="00886861">
        <w:rPr>
          <w:bCs/>
        </w:rPr>
        <w:t xml:space="preserve">erschienene </w:t>
      </w:r>
      <w:r w:rsidR="00DE0F27">
        <w:rPr>
          <w:bCs/>
        </w:rPr>
        <w:t>SVR-</w:t>
      </w:r>
      <w:r w:rsidRPr="00886861">
        <w:rPr>
          <w:bCs/>
        </w:rPr>
        <w:t xml:space="preserve">Integrationsbarometer, aber auch </w:t>
      </w:r>
      <w:r>
        <w:rPr>
          <w:bCs/>
        </w:rPr>
        <w:t xml:space="preserve">Fakten- </w:t>
      </w:r>
      <w:r w:rsidRPr="00886861">
        <w:rPr>
          <w:bCs/>
        </w:rPr>
        <w:t xml:space="preserve">und Positionspapiere dienen der Politik wie der Fachöffentlichkeit </w:t>
      </w:r>
      <w:r w:rsidR="009D24E1">
        <w:rPr>
          <w:bCs/>
        </w:rPr>
        <w:t xml:space="preserve">und schließlich auch der Allgemeinheit </w:t>
      </w:r>
      <w:r w:rsidRPr="00886861">
        <w:rPr>
          <w:bCs/>
        </w:rPr>
        <w:t>als Orientierungspunkte.</w:t>
      </w:r>
    </w:p>
    <w:p w14:paraId="160D028A" w14:textId="0A1C66AA" w:rsidR="002525DD" w:rsidRPr="003E60DF" w:rsidRDefault="009D24E1" w:rsidP="00DE0F27">
      <w:pPr>
        <w:jc w:val="both"/>
        <w:rPr>
          <w:bCs/>
        </w:rPr>
      </w:pPr>
      <w:r>
        <w:rPr>
          <w:bCs/>
        </w:rPr>
        <w:t xml:space="preserve">Bendel </w:t>
      </w:r>
      <w:r w:rsidR="00886861">
        <w:rPr>
          <w:bCs/>
        </w:rPr>
        <w:t xml:space="preserve">dankt </w:t>
      </w:r>
      <w:r>
        <w:rPr>
          <w:bCs/>
        </w:rPr>
        <w:t xml:space="preserve">ebenfalls </w:t>
      </w:r>
      <w:r w:rsidR="00886861">
        <w:rPr>
          <w:bCs/>
        </w:rPr>
        <w:t>der unabhängigen internationalen Findungskommission unter dem Vorsitz von Eva Welskop-Deffaa, deren Votum der Berufung der Mitglieder des SVR in der Vergangenheit zugrunde lag</w:t>
      </w:r>
      <w:r w:rsidR="00794386">
        <w:rPr>
          <w:bCs/>
        </w:rPr>
        <w:t>. Auch künftig wird eine Findungskommission die Berufungen der SVR-Mitglieder entsprechend vorbereiten.</w:t>
      </w:r>
      <w:r w:rsidR="00886861">
        <w:rPr>
          <w:bCs/>
        </w:rPr>
        <w:t xml:space="preserve"> „</w:t>
      </w:r>
      <w:r w:rsidR="00886861" w:rsidRPr="00DE0F27">
        <w:rPr>
          <w:bCs/>
        </w:rPr>
        <w:t xml:space="preserve">Dass die Unabhängigkeit des Rates auch weiterhin gewährleistet ist, hat die Kooperation mit </w:t>
      </w:r>
      <w:r w:rsidR="00DE0F27" w:rsidRPr="00DE0F27">
        <w:rPr>
          <w:bCs/>
        </w:rPr>
        <w:t xml:space="preserve">dem BMI sowie </w:t>
      </w:r>
      <w:r w:rsidR="00886861" w:rsidRPr="00DE0F27">
        <w:rPr>
          <w:bCs/>
        </w:rPr>
        <w:t xml:space="preserve">den </w:t>
      </w:r>
      <w:r w:rsidR="00DE0F27" w:rsidRPr="00DE0F27">
        <w:rPr>
          <w:bCs/>
        </w:rPr>
        <w:t xml:space="preserve">übrigen künftig im Kuratorium vertretenen </w:t>
      </w:r>
      <w:r w:rsidR="00886861" w:rsidRPr="00DE0F27">
        <w:rPr>
          <w:bCs/>
        </w:rPr>
        <w:t>Ministerien bereits unter Beweis gestellt.</w:t>
      </w:r>
      <w:r w:rsidR="00DE0F27" w:rsidRPr="00DE0F27">
        <w:rPr>
          <w:bCs/>
        </w:rPr>
        <w:t xml:space="preserve"> </w:t>
      </w:r>
      <w:r w:rsidR="00886861" w:rsidRPr="00886861">
        <w:rPr>
          <w:bCs/>
        </w:rPr>
        <w:t xml:space="preserve">Wir freuen uns auf die künftige Zusammenarbeit </w:t>
      </w:r>
      <w:r w:rsidR="00525FBE" w:rsidRPr="00886861">
        <w:rPr>
          <w:bCs/>
        </w:rPr>
        <w:t>–</w:t>
      </w:r>
      <w:r w:rsidR="00886861" w:rsidRPr="00886861">
        <w:rPr>
          <w:bCs/>
        </w:rPr>
        <w:t xml:space="preserve"> im neuen Rahmen und mit neuem Namen</w:t>
      </w:r>
      <w:r w:rsidR="002251F2">
        <w:rPr>
          <w:bCs/>
        </w:rPr>
        <w:t>, a</w:t>
      </w:r>
      <w:r w:rsidR="00886861" w:rsidRPr="00886861">
        <w:rPr>
          <w:bCs/>
        </w:rPr>
        <w:t>ber mit der bewährten, unabhängigen wissenschaftlichen Expertise</w:t>
      </w:r>
      <w:r w:rsidR="00DE0F27">
        <w:rPr>
          <w:bCs/>
        </w:rPr>
        <w:t xml:space="preserve">“, so Bendel. </w:t>
      </w:r>
    </w:p>
    <w:p w14:paraId="0C2721C2" w14:textId="7629B1E4" w:rsidR="00F57337" w:rsidRDefault="00DE0F27" w:rsidP="00081564">
      <w:pPr>
        <w:jc w:val="both"/>
        <w:rPr>
          <w:bCs/>
        </w:rPr>
      </w:pPr>
      <w:r w:rsidRPr="00081564">
        <w:rPr>
          <w:bCs/>
        </w:rPr>
        <w:t xml:space="preserve">Der Rechtsträger des Sachverständigenrats </w:t>
      </w:r>
      <w:r w:rsidR="00081564">
        <w:rPr>
          <w:bCs/>
        </w:rPr>
        <w:t xml:space="preserve">wird auch künftig </w:t>
      </w:r>
      <w:r w:rsidRPr="00081564">
        <w:rPr>
          <w:bCs/>
        </w:rPr>
        <w:t>eine gemeinnützige GmbH mit Sitz in Berlin</w:t>
      </w:r>
      <w:r w:rsidR="00081564">
        <w:rPr>
          <w:bCs/>
        </w:rPr>
        <w:t xml:space="preserve"> sein, deren Geschäfte weiterhin Dr. Cornelia Schu leitet. </w:t>
      </w:r>
    </w:p>
    <w:p w14:paraId="389A79AE" w14:textId="204FFA7A" w:rsidR="00515440" w:rsidRPr="00515440" w:rsidRDefault="00515440" w:rsidP="00515440">
      <w:pPr>
        <w:jc w:val="both"/>
        <w:rPr>
          <w:szCs w:val="20"/>
        </w:rPr>
      </w:pPr>
      <w:bookmarkStart w:id="1" w:name="_Hlk58581080"/>
      <w:r w:rsidRPr="00515440">
        <w:rPr>
          <w:szCs w:val="20"/>
        </w:rPr>
        <w:t>Seit seiner Gründung wird der SVR von einem breiten Konsortium von Stiftungen gefördert</w:t>
      </w:r>
      <w:r>
        <w:rPr>
          <w:szCs w:val="20"/>
        </w:rPr>
        <w:t>. Seit 2008 bis heute sind daran beteiligt</w:t>
      </w:r>
      <w:r w:rsidRPr="00515440">
        <w:rPr>
          <w:szCs w:val="20"/>
        </w:rPr>
        <w:t>:</w:t>
      </w:r>
      <w:r>
        <w:rPr>
          <w:szCs w:val="20"/>
        </w:rPr>
        <w:t xml:space="preserve"> </w:t>
      </w:r>
      <w:r w:rsidRPr="00515440">
        <w:rPr>
          <w:szCs w:val="20"/>
        </w:rPr>
        <w:t>Stiftung Mercator</w:t>
      </w:r>
      <w:r>
        <w:rPr>
          <w:szCs w:val="20"/>
        </w:rPr>
        <w:t xml:space="preserve">, </w:t>
      </w:r>
      <w:r w:rsidRPr="00515440">
        <w:rPr>
          <w:szCs w:val="20"/>
        </w:rPr>
        <w:t>VolkswagenStiftung</w:t>
      </w:r>
      <w:r>
        <w:rPr>
          <w:szCs w:val="20"/>
        </w:rPr>
        <w:t xml:space="preserve">, </w:t>
      </w:r>
      <w:r w:rsidRPr="00515440">
        <w:rPr>
          <w:szCs w:val="20"/>
        </w:rPr>
        <w:t>Bertelsmann Stiftung</w:t>
      </w:r>
      <w:r>
        <w:rPr>
          <w:szCs w:val="20"/>
        </w:rPr>
        <w:t xml:space="preserve">, </w:t>
      </w:r>
      <w:r w:rsidRPr="00515440">
        <w:rPr>
          <w:szCs w:val="20"/>
        </w:rPr>
        <w:t>Freudenberg Stiftung</w:t>
      </w:r>
      <w:r>
        <w:rPr>
          <w:szCs w:val="20"/>
        </w:rPr>
        <w:t xml:space="preserve"> sowie Vodafone Stiftung Deutschland; der Stifterverband sowie die Robert Bosch Stiftung beteiligen sich seit 2013 bzw. 2014 an der Initiative. Frühere Konsortiumsmitglieder sind die </w:t>
      </w:r>
      <w:r w:rsidRPr="00515440">
        <w:rPr>
          <w:szCs w:val="20"/>
        </w:rPr>
        <w:t>Gemeinnützige Hertie-Stiftung</w:t>
      </w:r>
      <w:r w:rsidR="000E31AC">
        <w:rPr>
          <w:szCs w:val="20"/>
        </w:rPr>
        <w:t>,</w:t>
      </w:r>
      <w:r>
        <w:rPr>
          <w:szCs w:val="20"/>
        </w:rPr>
        <w:t xml:space="preserve"> die </w:t>
      </w:r>
      <w:r w:rsidRPr="00515440">
        <w:rPr>
          <w:szCs w:val="20"/>
        </w:rPr>
        <w:t>Körber-Stiftung (</w:t>
      </w:r>
      <w:r>
        <w:rPr>
          <w:szCs w:val="20"/>
        </w:rPr>
        <w:t xml:space="preserve">beide von </w:t>
      </w:r>
      <w:r w:rsidR="00E05D38">
        <w:rPr>
          <w:szCs w:val="20"/>
        </w:rPr>
        <w:t xml:space="preserve">2008 bis </w:t>
      </w:r>
      <w:r w:rsidRPr="00515440">
        <w:rPr>
          <w:szCs w:val="20"/>
        </w:rPr>
        <w:t>2014)</w:t>
      </w:r>
      <w:r>
        <w:rPr>
          <w:szCs w:val="20"/>
        </w:rPr>
        <w:t xml:space="preserve"> sowie die </w:t>
      </w:r>
      <w:r w:rsidRPr="00515440">
        <w:rPr>
          <w:szCs w:val="20"/>
        </w:rPr>
        <w:t>ZEIT-Stiftung</w:t>
      </w:r>
      <w:r w:rsidR="00E05D38">
        <w:rPr>
          <w:szCs w:val="20"/>
        </w:rPr>
        <w:t xml:space="preserve"> Ebelin und Gerd Bucerius (von 2008 bis </w:t>
      </w:r>
      <w:r w:rsidRPr="00515440">
        <w:rPr>
          <w:szCs w:val="20"/>
        </w:rPr>
        <w:t>2012)</w:t>
      </w:r>
      <w:r>
        <w:rPr>
          <w:szCs w:val="20"/>
        </w:rPr>
        <w:t>.</w:t>
      </w:r>
    </w:p>
    <w:bookmarkEnd w:id="1"/>
    <w:p w14:paraId="5446B6BD" w14:textId="77777777" w:rsidR="00794386" w:rsidRPr="00515440" w:rsidRDefault="00794386" w:rsidP="006C4990">
      <w:pPr>
        <w:spacing w:after="0" w:line="276" w:lineRule="auto"/>
        <w:rPr>
          <w:b/>
          <w:sz w:val="22"/>
          <w:szCs w:val="22"/>
        </w:rPr>
      </w:pPr>
    </w:p>
    <w:p w14:paraId="37DD5165" w14:textId="77777777" w:rsidR="00F57337" w:rsidRPr="00841714" w:rsidRDefault="00F57337" w:rsidP="006C4990">
      <w:pPr>
        <w:spacing w:after="0" w:line="276" w:lineRule="auto"/>
        <w:rPr>
          <w:b/>
          <w:szCs w:val="20"/>
        </w:rPr>
      </w:pPr>
      <w:r w:rsidRPr="00841714">
        <w:rPr>
          <w:b/>
          <w:szCs w:val="20"/>
        </w:rPr>
        <w:t xml:space="preserve">Ihre Ansprechpartnerin für </w:t>
      </w:r>
      <w:r w:rsidR="00C31302">
        <w:rPr>
          <w:b/>
          <w:szCs w:val="20"/>
        </w:rPr>
        <w:t>Medien</w:t>
      </w:r>
      <w:r w:rsidRPr="00841714">
        <w:rPr>
          <w:b/>
          <w:szCs w:val="20"/>
        </w:rPr>
        <w:t>anfragen:</w:t>
      </w:r>
    </w:p>
    <w:p w14:paraId="40885646" w14:textId="77777777" w:rsidR="00C31302" w:rsidRDefault="00C31302" w:rsidP="006C4990">
      <w:pPr>
        <w:spacing w:after="0"/>
        <w:rPr>
          <w:szCs w:val="20"/>
        </w:rPr>
      </w:pPr>
      <w:r>
        <w:rPr>
          <w:szCs w:val="20"/>
        </w:rPr>
        <w:t>Dr. Margret Karsch</w:t>
      </w:r>
    </w:p>
    <w:p w14:paraId="49629951" w14:textId="77777777" w:rsidR="00C31302" w:rsidRDefault="00C31302" w:rsidP="006C4990">
      <w:pPr>
        <w:spacing w:after="0"/>
        <w:rPr>
          <w:szCs w:val="20"/>
        </w:rPr>
      </w:pPr>
      <w:r>
        <w:rPr>
          <w:szCs w:val="20"/>
        </w:rPr>
        <w:t>Kommunikation SVR GmbH</w:t>
      </w:r>
    </w:p>
    <w:p w14:paraId="66A082C1" w14:textId="77777777" w:rsidR="00C31302" w:rsidRDefault="00C31302" w:rsidP="006C4990">
      <w:pPr>
        <w:spacing w:after="0"/>
        <w:rPr>
          <w:szCs w:val="20"/>
        </w:rPr>
      </w:pPr>
      <w:r>
        <w:rPr>
          <w:szCs w:val="20"/>
        </w:rPr>
        <w:t>Telefon: 030/288 86 59-18</w:t>
      </w:r>
    </w:p>
    <w:p w14:paraId="36C50725" w14:textId="77777777" w:rsidR="00C31302" w:rsidRDefault="00C31302" w:rsidP="006C4990">
      <w:pPr>
        <w:spacing w:after="0"/>
      </w:pPr>
      <w:r>
        <w:t xml:space="preserve">E-Mail: </w:t>
      </w:r>
      <w:hyperlink w:history="1">
        <w:r w:rsidRPr="00B831DB">
          <w:rPr>
            <w:rStyle w:val="Hyperlink"/>
            <w:rFonts w:cs="Tahoma"/>
          </w:rPr>
          <w:t>presse@svr-migration.de</w:t>
        </w:r>
      </w:hyperlink>
    </w:p>
    <w:p w14:paraId="3FAFF8E6" w14:textId="77777777" w:rsidR="00794386" w:rsidRDefault="00794386" w:rsidP="00DE0F27">
      <w:pPr>
        <w:spacing w:after="0" w:line="276" w:lineRule="auto"/>
        <w:rPr>
          <w:b/>
          <w:color w:val="000000"/>
          <w:szCs w:val="20"/>
        </w:rPr>
      </w:pPr>
    </w:p>
    <w:p w14:paraId="5CEC5CF4" w14:textId="77777777" w:rsidR="00F57337" w:rsidRDefault="00F57337" w:rsidP="00DE0F27">
      <w:pPr>
        <w:spacing w:after="0" w:line="276" w:lineRule="auto"/>
        <w:rPr>
          <w:b/>
          <w:color w:val="000000"/>
          <w:szCs w:val="20"/>
        </w:rPr>
      </w:pPr>
      <w:r>
        <w:rPr>
          <w:b/>
          <w:color w:val="000000"/>
          <w:szCs w:val="20"/>
        </w:rPr>
        <w:t>Über den Sachverständigenrat</w:t>
      </w:r>
    </w:p>
    <w:p w14:paraId="72B6EED4" w14:textId="2A5DCFE7" w:rsidR="00DE0F27" w:rsidRPr="00DE0F27" w:rsidRDefault="00DE0F27" w:rsidP="00DE0F27">
      <w:pPr>
        <w:rPr>
          <w:color w:val="000000"/>
          <w:szCs w:val="20"/>
        </w:rPr>
      </w:pPr>
      <w:r w:rsidRPr="00DE0F27">
        <w:rPr>
          <w:color w:val="000000"/>
          <w:szCs w:val="20"/>
        </w:rPr>
        <w:t>Der Sachverständigenrat deutscher Stiftungen für Integration und Migration geht auf eine Initiative der Stiftung Mercator und der VolkswagenStiftung zurück. Ihr gehören sieben Stiftungen an. Neben der Stiftung Mercator und der VolkswagenStiftung sind dies: Bertelsmann Stiftung, Freudenberg Stiftung, Robert Bosch Stiftung, Stifterverband und Vodafone Stiftung Deutschland. Der Sachverständigenrat ist ein unabhängiges und interdisziplinär besetztes Expertengremium, das zu integrations- und migrationspolitischen Themen Stellung bezieht und handlungsorientierte Politikberatung anbietet. Die Ergebnisse seiner Arbeit werden in einem Jahresgutachten veröffentlicht. Das SVR-Jahresgutachten 2020 wird gefördert durch das Bundesministerium des Innern, für Bau und Heimat.</w:t>
      </w:r>
    </w:p>
    <w:p w14:paraId="6EF53452" w14:textId="77777777" w:rsidR="00DE0F27" w:rsidRPr="00DE0F27" w:rsidRDefault="00DE0F27" w:rsidP="00DE0F27">
      <w:pPr>
        <w:rPr>
          <w:color w:val="000000"/>
          <w:szCs w:val="20"/>
        </w:rPr>
      </w:pPr>
      <w:r w:rsidRPr="00DE0F27">
        <w:rPr>
          <w:color w:val="000000"/>
          <w:szCs w:val="20"/>
        </w:rPr>
        <w:t>Dem SVR gehören neun Wissenschaftlerinnen und Wissenschaftler aus verschiedenen Disziplinen und Forschungsrichtungen an: Prof. Dr. Petra Bendel (Vorsitzende), Prof. Dr. Daniel Thym (Stellvertretender Vorsitzender), Prof. Dr. Claudia Diehl, Prof. Dr. Viola B. Georgi, Prof. Dr. Christian Joppke, Prof. Dr. Birgit Leyendecker, Prof. Panu Poutvaara, Ph.D., Prof. Dr. Sieglinde Rosenberger und Prof. Dr. Hans Vorländer.</w:t>
      </w:r>
    </w:p>
    <w:p w14:paraId="4FE530FD" w14:textId="77777777" w:rsidR="00C9733F" w:rsidRPr="009B54CC" w:rsidRDefault="00F57337" w:rsidP="006C4990">
      <w:pPr>
        <w:rPr>
          <w:sz w:val="16"/>
          <w:szCs w:val="16"/>
        </w:rPr>
      </w:pPr>
      <w:r>
        <w:rPr>
          <w:color w:val="000000"/>
          <w:szCs w:val="20"/>
        </w:rPr>
        <w:t xml:space="preserve">Weitere Informationen unter: </w:t>
      </w:r>
      <w:hyperlink w:history="1">
        <w:r>
          <w:rPr>
            <w:rStyle w:val="Hyperlink"/>
            <w:rFonts w:cs="Tahoma"/>
            <w:szCs w:val="20"/>
          </w:rPr>
          <w:t>www.svr-migration.de</w:t>
        </w:r>
      </w:hyperlink>
    </w:p>
    <w:sectPr w:rsidR="00C9733F" w:rsidRPr="009B54CC" w:rsidSect="006C4990">
      <w:headerReference w:type="default" r:id="rId7"/>
      <w:footerReference w:type="default" r:id="rId8"/>
      <w:pgSz w:w="11906" w:h="16838" w:code="9"/>
      <w:pgMar w:top="2104" w:right="1418" w:bottom="1134" w:left="1418" w:header="709" w:footer="1191"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821063" w16cex:dateUtc="2020-12-14T15:2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F932F85" w16cid:durableId="2382106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E9A69B" w14:textId="77777777" w:rsidR="00B93521" w:rsidRDefault="00B93521" w:rsidP="00816B57">
      <w:pPr>
        <w:spacing w:line="240" w:lineRule="auto"/>
      </w:pPr>
      <w:r>
        <w:separator/>
      </w:r>
    </w:p>
  </w:endnote>
  <w:endnote w:type="continuationSeparator" w:id="0">
    <w:p w14:paraId="0F3A3784" w14:textId="77777777" w:rsidR="00B93521" w:rsidRDefault="00B93521" w:rsidP="00816B5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Grande">
    <w:altName w:val="Arial"/>
    <w:charset w:val="00"/>
    <w:family w:val="auto"/>
    <w:pitch w:val="variable"/>
    <w:sig w:usb0="00000000"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DaxCE-Regular">
    <w:altName w:val="Calibri"/>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B6E778" w14:textId="77777777" w:rsidR="00816B57" w:rsidRPr="00BA6160" w:rsidRDefault="00816B57" w:rsidP="00816B57">
    <w:pPr>
      <w:pStyle w:val="Fuzeile"/>
      <w:tabs>
        <w:tab w:val="clear" w:pos="4536"/>
        <w:tab w:val="clear" w:pos="9072"/>
        <w:tab w:val="left" w:pos="2414"/>
      </w:tabs>
      <w:jc w:val="right"/>
      <w:rPr>
        <w:rFonts w:ascii="DaxCE-Regular" w:hAnsi="DaxCE-Regular" w:cs="Tahoma"/>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8DEF87" w14:textId="77777777" w:rsidR="00B93521" w:rsidRDefault="00B93521" w:rsidP="00816B57">
      <w:pPr>
        <w:spacing w:line="240" w:lineRule="auto"/>
      </w:pPr>
      <w:r>
        <w:separator/>
      </w:r>
    </w:p>
  </w:footnote>
  <w:footnote w:type="continuationSeparator" w:id="0">
    <w:p w14:paraId="5F5826D7" w14:textId="77777777" w:rsidR="00B93521" w:rsidRDefault="00B93521" w:rsidP="00816B5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062A38" w14:textId="4AD48B61" w:rsidR="009D0C2D" w:rsidRPr="00DD5139" w:rsidRDefault="009D0C2D" w:rsidP="009D0C2D">
    <w:pPr>
      <w:pStyle w:val="Fuzeile"/>
      <w:framePr w:wrap="notBeside" w:vAnchor="page" w:hAnchor="page" w:x="10774" w:y="15679"/>
      <w:rPr>
        <w:rStyle w:val="Seitenzahl"/>
        <w:sz w:val="22"/>
      </w:rPr>
    </w:pPr>
    <w:r w:rsidRPr="00DD5139">
      <w:rPr>
        <w:rStyle w:val="Seitenzahl"/>
        <w:sz w:val="22"/>
      </w:rPr>
      <w:fldChar w:fldCharType="begin"/>
    </w:r>
    <w:r w:rsidR="00D303A0">
      <w:rPr>
        <w:rStyle w:val="Seitenzahl"/>
        <w:sz w:val="22"/>
      </w:rPr>
      <w:instrText>PAGE</w:instrText>
    </w:r>
    <w:r w:rsidRPr="00DD5139">
      <w:rPr>
        <w:rStyle w:val="Seitenzahl"/>
        <w:sz w:val="22"/>
      </w:rPr>
      <w:instrText xml:space="preserve">  </w:instrText>
    </w:r>
    <w:r w:rsidRPr="00DD5139">
      <w:rPr>
        <w:rStyle w:val="Seitenzahl"/>
        <w:sz w:val="22"/>
      </w:rPr>
      <w:fldChar w:fldCharType="separate"/>
    </w:r>
    <w:r w:rsidR="00D67F8D">
      <w:rPr>
        <w:rStyle w:val="Seitenzahl"/>
        <w:noProof/>
        <w:sz w:val="22"/>
      </w:rPr>
      <w:t>1</w:t>
    </w:r>
    <w:r w:rsidRPr="00DD5139">
      <w:rPr>
        <w:rStyle w:val="Seitenzahl"/>
        <w:sz w:val="22"/>
      </w:rPr>
      <w:fldChar w:fldCharType="end"/>
    </w:r>
  </w:p>
  <w:p w14:paraId="708EB262" w14:textId="77777777" w:rsidR="00816B57" w:rsidRPr="00115F29" w:rsidRDefault="007979EB" w:rsidP="00816B57">
    <w:pPr>
      <w:pStyle w:val="Kopfzeile"/>
    </w:pPr>
    <w:r>
      <w:rPr>
        <w:noProof/>
        <w:lang w:val="de-DE"/>
      </w:rPr>
      <w:drawing>
        <wp:anchor distT="0" distB="0" distL="114300" distR="114300" simplePos="0" relativeHeight="251660800" behindDoc="1" locked="1" layoutInCell="1" allowOverlap="1" wp14:anchorId="4BED6767" wp14:editId="6DA4BE98">
          <wp:simplePos x="0" y="0"/>
          <wp:positionH relativeFrom="page">
            <wp:align>right</wp:align>
          </wp:positionH>
          <wp:positionV relativeFrom="page">
            <wp:align>top</wp:align>
          </wp:positionV>
          <wp:extent cx="7556500" cy="10693400"/>
          <wp:effectExtent l="0" t="0" r="0" b="0"/>
          <wp:wrapNone/>
          <wp:docPr id="4" name="Bild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70"/>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0" cy="10693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64E5">
      <w:rPr>
        <w:noProof/>
        <w:lang w:val="de-DE"/>
      </w:rPr>
      <mc:AlternateContent>
        <mc:Choice Requires="wps">
          <w:drawing>
            <wp:anchor distT="0" distB="0" distL="114300" distR="114300" simplePos="0" relativeHeight="251658752" behindDoc="0" locked="0" layoutInCell="1" allowOverlap="1" wp14:anchorId="6430C7CD" wp14:editId="3E6DE39B">
              <wp:simplePos x="0" y="0"/>
              <wp:positionH relativeFrom="column">
                <wp:posOffset>-1137285</wp:posOffset>
              </wp:positionH>
              <wp:positionV relativeFrom="paragraph">
                <wp:posOffset>-718185</wp:posOffset>
              </wp:positionV>
              <wp:extent cx="8100060" cy="11242675"/>
              <wp:effectExtent l="0" t="0" r="27940" b="34925"/>
              <wp:wrapNone/>
              <wp:docPr id="69"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100060" cy="11242675"/>
                      </a:xfrm>
                      <a:custGeom>
                        <a:avLst/>
                        <a:gdLst>
                          <a:gd name="T0" fmla="*/ 12336 w 12756"/>
                          <a:gd name="T1" fmla="*/ 17404 h 17705"/>
                          <a:gd name="T2" fmla="*/ 12336 w 12756"/>
                          <a:gd name="T3" fmla="*/ 17705 h 17705"/>
                          <a:gd name="T4" fmla="*/ 12336 w 12756"/>
                          <a:gd name="T5" fmla="*/ 300 h 17705"/>
                          <a:gd name="T6" fmla="*/ 12336 w 12756"/>
                          <a:gd name="T7" fmla="*/ 0 h 17705"/>
                          <a:gd name="T8" fmla="*/ 421 w 12756"/>
                          <a:gd name="T9" fmla="*/ 17404 h 17705"/>
                          <a:gd name="T10" fmla="*/ 421 w 12756"/>
                          <a:gd name="T11" fmla="*/ 17705 h 17705"/>
                          <a:gd name="T12" fmla="*/ 421 w 12756"/>
                          <a:gd name="T13" fmla="*/ 300 h 17705"/>
                          <a:gd name="T14" fmla="*/ 421 w 12756"/>
                          <a:gd name="T15" fmla="*/ 0 h 17705"/>
                          <a:gd name="T16" fmla="*/ 12456 w 12756"/>
                          <a:gd name="T17" fmla="*/ 17284 h 17705"/>
                          <a:gd name="T18" fmla="*/ 12756 w 12756"/>
                          <a:gd name="T19" fmla="*/ 17284 h 17705"/>
                          <a:gd name="T20" fmla="*/ 301 w 12756"/>
                          <a:gd name="T21" fmla="*/ 17284 h 17705"/>
                          <a:gd name="T22" fmla="*/ 0 w 12756"/>
                          <a:gd name="T23" fmla="*/ 17284 h 17705"/>
                          <a:gd name="T24" fmla="*/ 12456 w 12756"/>
                          <a:gd name="T25" fmla="*/ 420 h 17705"/>
                          <a:gd name="T26" fmla="*/ 12756 w 12756"/>
                          <a:gd name="T27" fmla="*/ 420 h 17705"/>
                          <a:gd name="T28" fmla="*/ 301 w 12756"/>
                          <a:gd name="T29" fmla="*/ 420 h 17705"/>
                          <a:gd name="T30" fmla="*/ 0 w 12756"/>
                          <a:gd name="T31" fmla="*/ 420 h 177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2756" h="17705">
                            <a:moveTo>
                              <a:pt x="12336" y="17404"/>
                            </a:moveTo>
                            <a:lnTo>
                              <a:pt x="12336" y="17705"/>
                            </a:lnTo>
                            <a:moveTo>
                              <a:pt x="12336" y="300"/>
                            </a:moveTo>
                            <a:lnTo>
                              <a:pt x="12336" y="0"/>
                            </a:lnTo>
                            <a:moveTo>
                              <a:pt x="421" y="17404"/>
                            </a:moveTo>
                            <a:lnTo>
                              <a:pt x="421" y="17705"/>
                            </a:lnTo>
                            <a:moveTo>
                              <a:pt x="421" y="300"/>
                            </a:moveTo>
                            <a:lnTo>
                              <a:pt x="421" y="0"/>
                            </a:lnTo>
                            <a:moveTo>
                              <a:pt x="12456" y="17284"/>
                            </a:moveTo>
                            <a:lnTo>
                              <a:pt x="12756" y="17284"/>
                            </a:lnTo>
                            <a:moveTo>
                              <a:pt x="301" y="17284"/>
                            </a:moveTo>
                            <a:lnTo>
                              <a:pt x="0" y="17284"/>
                            </a:lnTo>
                            <a:moveTo>
                              <a:pt x="12456" y="420"/>
                            </a:moveTo>
                            <a:lnTo>
                              <a:pt x="12756" y="420"/>
                            </a:lnTo>
                            <a:moveTo>
                              <a:pt x="301" y="420"/>
                            </a:moveTo>
                            <a:lnTo>
                              <a:pt x="0" y="420"/>
                            </a:lnTo>
                          </a:path>
                        </a:pathLst>
                      </a:cu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5714E86" id="Freeform 1" o:spid="_x0000_s1026" style="position:absolute;margin-left:-89.55pt;margin-top:-56.55pt;width:637.8pt;height:885.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2756,17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" path="m12336,17404r,301m12336,300r,-300m421,17404r,301m421,300l421,m12456,17284r300,m301,17284r-301,m12456,420r300,m301,420l,420e" filled="f" strokeweight=".25pt">
              <v:stroke joinstyle="miter"/>
              <v:path arrowok="t" o:connecttype="custom" o:connectlocs="7833360,11051540;7833360,11242675;7833360,190500;7833360,0;267335,11051540;267335,11242675;267335,190500;267335,0;7909560,10975340;8100060,10975340;191135,10975340;0,10975340;7909560,266700;8100060,266700;191135,266700;0,266700" o:connectangles="0,0,0,0,0,0,0,0,0,0,0,0,0,0,0,0"/>
              <o:lock v:ext="edit" verticies="t"/>
            </v:shape>
          </w:pict>
        </mc:Fallback>
      </mc:AlternateContent>
    </w:r>
    <w:r w:rsidR="00C364E5">
      <w:rPr>
        <w:noProof/>
        <w:lang w:val="de-DE"/>
      </w:rPr>
      <mc:AlternateContent>
        <mc:Choice Requires="wps">
          <w:drawing>
            <wp:anchor distT="0" distB="0" distL="114300" distR="114300" simplePos="0" relativeHeight="251657728" behindDoc="0" locked="0" layoutInCell="1" allowOverlap="1" wp14:anchorId="18C18CE0" wp14:editId="54461F80">
              <wp:simplePos x="0" y="0"/>
              <wp:positionH relativeFrom="column">
                <wp:posOffset>-1137285</wp:posOffset>
              </wp:positionH>
              <wp:positionV relativeFrom="paragraph">
                <wp:posOffset>-718185</wp:posOffset>
              </wp:positionV>
              <wp:extent cx="8100060" cy="11242675"/>
              <wp:effectExtent l="0" t="0" r="27940" b="34925"/>
              <wp:wrapNone/>
              <wp:docPr id="68"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100060" cy="11242675"/>
                      </a:xfrm>
                      <a:custGeom>
                        <a:avLst/>
                        <a:gdLst>
                          <a:gd name="T0" fmla="*/ 12336 w 12756"/>
                          <a:gd name="T1" fmla="*/ 17404 h 17705"/>
                          <a:gd name="T2" fmla="*/ 12336 w 12756"/>
                          <a:gd name="T3" fmla="*/ 17705 h 17705"/>
                          <a:gd name="T4" fmla="*/ 12336 w 12756"/>
                          <a:gd name="T5" fmla="*/ 300 h 17705"/>
                          <a:gd name="T6" fmla="*/ 12336 w 12756"/>
                          <a:gd name="T7" fmla="*/ 0 h 17705"/>
                          <a:gd name="T8" fmla="*/ 421 w 12756"/>
                          <a:gd name="T9" fmla="*/ 17404 h 17705"/>
                          <a:gd name="T10" fmla="*/ 421 w 12756"/>
                          <a:gd name="T11" fmla="*/ 17705 h 17705"/>
                          <a:gd name="T12" fmla="*/ 421 w 12756"/>
                          <a:gd name="T13" fmla="*/ 300 h 17705"/>
                          <a:gd name="T14" fmla="*/ 421 w 12756"/>
                          <a:gd name="T15" fmla="*/ 0 h 17705"/>
                          <a:gd name="T16" fmla="*/ 12456 w 12756"/>
                          <a:gd name="T17" fmla="*/ 17284 h 17705"/>
                          <a:gd name="T18" fmla="*/ 12756 w 12756"/>
                          <a:gd name="T19" fmla="*/ 17284 h 17705"/>
                          <a:gd name="T20" fmla="*/ 301 w 12756"/>
                          <a:gd name="T21" fmla="*/ 17284 h 17705"/>
                          <a:gd name="T22" fmla="*/ 0 w 12756"/>
                          <a:gd name="T23" fmla="*/ 17284 h 17705"/>
                          <a:gd name="T24" fmla="*/ 12456 w 12756"/>
                          <a:gd name="T25" fmla="*/ 420 h 17705"/>
                          <a:gd name="T26" fmla="*/ 12756 w 12756"/>
                          <a:gd name="T27" fmla="*/ 420 h 17705"/>
                          <a:gd name="T28" fmla="*/ 301 w 12756"/>
                          <a:gd name="T29" fmla="*/ 420 h 17705"/>
                          <a:gd name="T30" fmla="*/ 0 w 12756"/>
                          <a:gd name="T31" fmla="*/ 420 h 177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2756" h="17705">
                            <a:moveTo>
                              <a:pt x="12336" y="17404"/>
                            </a:moveTo>
                            <a:lnTo>
                              <a:pt x="12336" y="17705"/>
                            </a:lnTo>
                            <a:moveTo>
                              <a:pt x="12336" y="300"/>
                            </a:moveTo>
                            <a:lnTo>
                              <a:pt x="12336" y="0"/>
                            </a:lnTo>
                            <a:moveTo>
                              <a:pt x="421" y="17404"/>
                            </a:moveTo>
                            <a:lnTo>
                              <a:pt x="421" y="17705"/>
                            </a:lnTo>
                            <a:moveTo>
                              <a:pt x="421" y="300"/>
                            </a:moveTo>
                            <a:lnTo>
                              <a:pt x="421" y="0"/>
                            </a:lnTo>
                            <a:moveTo>
                              <a:pt x="12456" y="17284"/>
                            </a:moveTo>
                            <a:lnTo>
                              <a:pt x="12756" y="17284"/>
                            </a:lnTo>
                            <a:moveTo>
                              <a:pt x="301" y="17284"/>
                            </a:moveTo>
                            <a:lnTo>
                              <a:pt x="0" y="17284"/>
                            </a:lnTo>
                            <a:moveTo>
                              <a:pt x="12456" y="420"/>
                            </a:moveTo>
                            <a:lnTo>
                              <a:pt x="12756" y="420"/>
                            </a:lnTo>
                            <a:moveTo>
                              <a:pt x="301" y="420"/>
                            </a:moveTo>
                            <a:lnTo>
                              <a:pt x="0" y="420"/>
                            </a:lnTo>
                          </a:path>
                        </a:pathLst>
                      </a:custGeom>
                      <a:noFill/>
                      <a:ln w="15875">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1005555" id="Freeform 2" o:spid="_x0000_s1026" style="position:absolute;margin-left:-89.55pt;margin-top:-56.55pt;width:637.8pt;height:885.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2756,17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" path="m12336,17404r,301m12336,300r,-300m421,17404r,301m421,300l421,m12456,17284r300,m301,17284r-301,m12456,420r300,m301,420l,420e" filled="f" strokecolor="white" strokeweight="1.25pt">
              <v:stroke joinstyle="miter"/>
              <v:path arrowok="t" o:connecttype="custom" o:connectlocs="7833360,11051540;7833360,11242675;7833360,190500;7833360,0;267335,11051540;267335,11242675;267335,190500;267335,0;7909560,10975340;8100060,10975340;191135,10975340;0,10975340;7909560,266700;8100060,266700;191135,266700;0,266700" o:connectangles="0,0,0,0,0,0,0,0,0,0,0,0,0,0,0,0"/>
              <o:lock v:ext="edit" verticies="t"/>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88182B"/>
    <w:multiLevelType w:val="hybridMultilevel"/>
    <w:tmpl w:val="1248A6AC"/>
    <w:lvl w:ilvl="0" w:tplc="000F0407">
      <w:start w:val="3"/>
      <w:numFmt w:val="decimal"/>
      <w:lvlText w:val="%1."/>
      <w:lvlJc w:val="left"/>
      <w:pPr>
        <w:tabs>
          <w:tab w:val="num" w:pos="720"/>
        </w:tabs>
        <w:ind w:left="720" w:hanging="360"/>
      </w:pPr>
    </w:lvl>
    <w:lvl w:ilvl="1" w:tplc="00190407">
      <w:start w:val="1"/>
      <w:numFmt w:val="decimal"/>
      <w:lvlText w:val="%2."/>
      <w:lvlJc w:val="left"/>
      <w:pPr>
        <w:tabs>
          <w:tab w:val="num" w:pos="1440"/>
        </w:tabs>
        <w:ind w:left="1440" w:hanging="360"/>
      </w:pPr>
    </w:lvl>
    <w:lvl w:ilvl="2" w:tplc="001B0407">
      <w:start w:val="1"/>
      <w:numFmt w:val="decimal"/>
      <w:lvlText w:val="%3."/>
      <w:lvlJc w:val="left"/>
      <w:pPr>
        <w:tabs>
          <w:tab w:val="num" w:pos="2160"/>
        </w:tabs>
        <w:ind w:left="2160" w:hanging="360"/>
      </w:pPr>
    </w:lvl>
    <w:lvl w:ilvl="3" w:tplc="000F0407">
      <w:start w:val="1"/>
      <w:numFmt w:val="decimal"/>
      <w:lvlText w:val="%4."/>
      <w:lvlJc w:val="left"/>
      <w:pPr>
        <w:tabs>
          <w:tab w:val="num" w:pos="2880"/>
        </w:tabs>
        <w:ind w:left="2880" w:hanging="360"/>
      </w:pPr>
    </w:lvl>
    <w:lvl w:ilvl="4" w:tplc="00190407">
      <w:start w:val="1"/>
      <w:numFmt w:val="decimal"/>
      <w:lvlText w:val="%5."/>
      <w:lvlJc w:val="left"/>
      <w:pPr>
        <w:tabs>
          <w:tab w:val="num" w:pos="3600"/>
        </w:tabs>
        <w:ind w:left="3600" w:hanging="360"/>
      </w:pPr>
    </w:lvl>
    <w:lvl w:ilvl="5" w:tplc="001B0407">
      <w:start w:val="1"/>
      <w:numFmt w:val="decimal"/>
      <w:lvlText w:val="%6."/>
      <w:lvlJc w:val="left"/>
      <w:pPr>
        <w:tabs>
          <w:tab w:val="num" w:pos="4320"/>
        </w:tabs>
        <w:ind w:left="4320" w:hanging="360"/>
      </w:pPr>
    </w:lvl>
    <w:lvl w:ilvl="6" w:tplc="000F0407">
      <w:start w:val="1"/>
      <w:numFmt w:val="decimal"/>
      <w:lvlText w:val="%7."/>
      <w:lvlJc w:val="left"/>
      <w:pPr>
        <w:tabs>
          <w:tab w:val="num" w:pos="5040"/>
        </w:tabs>
        <w:ind w:left="5040" w:hanging="360"/>
      </w:pPr>
    </w:lvl>
    <w:lvl w:ilvl="7" w:tplc="00190407">
      <w:start w:val="1"/>
      <w:numFmt w:val="decimal"/>
      <w:lvlText w:val="%8."/>
      <w:lvlJc w:val="left"/>
      <w:pPr>
        <w:tabs>
          <w:tab w:val="num" w:pos="5760"/>
        </w:tabs>
        <w:ind w:left="5760" w:hanging="360"/>
      </w:pPr>
    </w:lvl>
    <w:lvl w:ilvl="8" w:tplc="001B0407">
      <w:start w:val="1"/>
      <w:numFmt w:val="decimal"/>
      <w:lvlText w:val="%9."/>
      <w:lvlJc w:val="left"/>
      <w:pPr>
        <w:tabs>
          <w:tab w:val="num" w:pos="6480"/>
        </w:tabs>
        <w:ind w:left="6480" w:hanging="360"/>
      </w:pPr>
    </w:lvl>
  </w:abstractNum>
  <w:abstractNum w:abstractNumId="1" w15:restartNumberingAfterBreak="0">
    <w:nsid w:val="1D115AD2"/>
    <w:multiLevelType w:val="hybridMultilevel"/>
    <w:tmpl w:val="03A4FE8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3843EF0"/>
    <w:multiLevelType w:val="hybridMultilevel"/>
    <w:tmpl w:val="93F0F1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162926"/>
    <w:multiLevelType w:val="hybridMultilevel"/>
    <w:tmpl w:val="B948AB86"/>
    <w:lvl w:ilvl="0" w:tplc="000F0407">
      <w:start w:val="8"/>
      <w:numFmt w:val="decimal"/>
      <w:lvlText w:val="%1."/>
      <w:lvlJc w:val="left"/>
      <w:pPr>
        <w:tabs>
          <w:tab w:val="num" w:pos="720"/>
        </w:tabs>
        <w:ind w:left="720" w:hanging="360"/>
      </w:pPr>
    </w:lvl>
    <w:lvl w:ilvl="1" w:tplc="00190407">
      <w:start w:val="1"/>
      <w:numFmt w:val="decimal"/>
      <w:lvlText w:val="%2."/>
      <w:lvlJc w:val="left"/>
      <w:pPr>
        <w:tabs>
          <w:tab w:val="num" w:pos="1440"/>
        </w:tabs>
        <w:ind w:left="1440" w:hanging="360"/>
      </w:pPr>
    </w:lvl>
    <w:lvl w:ilvl="2" w:tplc="001B0407">
      <w:start w:val="1"/>
      <w:numFmt w:val="decimal"/>
      <w:lvlText w:val="%3."/>
      <w:lvlJc w:val="left"/>
      <w:pPr>
        <w:tabs>
          <w:tab w:val="num" w:pos="2160"/>
        </w:tabs>
        <w:ind w:left="2160" w:hanging="360"/>
      </w:pPr>
    </w:lvl>
    <w:lvl w:ilvl="3" w:tplc="000F0407">
      <w:start w:val="1"/>
      <w:numFmt w:val="decimal"/>
      <w:lvlText w:val="%4."/>
      <w:lvlJc w:val="left"/>
      <w:pPr>
        <w:tabs>
          <w:tab w:val="num" w:pos="2880"/>
        </w:tabs>
        <w:ind w:left="2880" w:hanging="360"/>
      </w:pPr>
    </w:lvl>
    <w:lvl w:ilvl="4" w:tplc="00190407">
      <w:start w:val="1"/>
      <w:numFmt w:val="decimal"/>
      <w:lvlText w:val="%5."/>
      <w:lvlJc w:val="left"/>
      <w:pPr>
        <w:tabs>
          <w:tab w:val="num" w:pos="3600"/>
        </w:tabs>
        <w:ind w:left="3600" w:hanging="360"/>
      </w:pPr>
    </w:lvl>
    <w:lvl w:ilvl="5" w:tplc="001B0407">
      <w:start w:val="1"/>
      <w:numFmt w:val="decimal"/>
      <w:lvlText w:val="%6."/>
      <w:lvlJc w:val="left"/>
      <w:pPr>
        <w:tabs>
          <w:tab w:val="num" w:pos="4320"/>
        </w:tabs>
        <w:ind w:left="4320" w:hanging="360"/>
      </w:pPr>
    </w:lvl>
    <w:lvl w:ilvl="6" w:tplc="000F0407">
      <w:start w:val="1"/>
      <w:numFmt w:val="decimal"/>
      <w:lvlText w:val="%7."/>
      <w:lvlJc w:val="left"/>
      <w:pPr>
        <w:tabs>
          <w:tab w:val="num" w:pos="5040"/>
        </w:tabs>
        <w:ind w:left="5040" w:hanging="360"/>
      </w:pPr>
    </w:lvl>
    <w:lvl w:ilvl="7" w:tplc="00190407">
      <w:start w:val="1"/>
      <w:numFmt w:val="decimal"/>
      <w:lvlText w:val="%8."/>
      <w:lvlJc w:val="left"/>
      <w:pPr>
        <w:tabs>
          <w:tab w:val="num" w:pos="5760"/>
        </w:tabs>
        <w:ind w:left="5760" w:hanging="360"/>
      </w:pPr>
    </w:lvl>
    <w:lvl w:ilvl="8" w:tplc="001B0407">
      <w:start w:val="1"/>
      <w:numFmt w:val="decimal"/>
      <w:lvlText w:val="%9."/>
      <w:lvlJc w:val="left"/>
      <w:pPr>
        <w:tabs>
          <w:tab w:val="num" w:pos="6480"/>
        </w:tabs>
        <w:ind w:left="6480" w:hanging="360"/>
      </w:pPr>
    </w:lvl>
  </w:abstractNum>
  <w:abstractNum w:abstractNumId="4" w15:restartNumberingAfterBreak="0">
    <w:nsid w:val="2F3A6E21"/>
    <w:multiLevelType w:val="hybridMultilevel"/>
    <w:tmpl w:val="5A84D1C2"/>
    <w:lvl w:ilvl="0" w:tplc="00010407">
      <w:start w:val="1"/>
      <w:numFmt w:val="bullet"/>
      <w:lvlText w:val=""/>
      <w:lvlJc w:val="left"/>
      <w:pPr>
        <w:ind w:left="720" w:hanging="360"/>
      </w:pPr>
      <w:rPr>
        <w:rFonts w:ascii="Symbol" w:hAnsi="Symbol" w:hint="default"/>
      </w:rPr>
    </w:lvl>
    <w:lvl w:ilvl="1" w:tplc="00030407" w:tentative="1">
      <w:start w:val="1"/>
      <w:numFmt w:val="bullet"/>
      <w:lvlText w:val="o"/>
      <w:lvlJc w:val="left"/>
      <w:pPr>
        <w:ind w:left="1440" w:hanging="360"/>
      </w:pPr>
      <w:rPr>
        <w:rFonts w:ascii="Courier New" w:hAnsi="Courier New" w:hint="default"/>
      </w:rPr>
    </w:lvl>
    <w:lvl w:ilvl="2" w:tplc="00050407" w:tentative="1">
      <w:start w:val="1"/>
      <w:numFmt w:val="bullet"/>
      <w:lvlText w:val=""/>
      <w:lvlJc w:val="left"/>
      <w:pPr>
        <w:ind w:left="2160" w:hanging="360"/>
      </w:pPr>
      <w:rPr>
        <w:rFonts w:ascii="Wingdings" w:hAnsi="Wingdings" w:hint="default"/>
      </w:rPr>
    </w:lvl>
    <w:lvl w:ilvl="3" w:tplc="00010407" w:tentative="1">
      <w:start w:val="1"/>
      <w:numFmt w:val="bullet"/>
      <w:lvlText w:val=""/>
      <w:lvlJc w:val="left"/>
      <w:pPr>
        <w:ind w:left="2880" w:hanging="360"/>
      </w:pPr>
      <w:rPr>
        <w:rFonts w:ascii="Symbol" w:hAnsi="Symbol" w:hint="default"/>
      </w:rPr>
    </w:lvl>
    <w:lvl w:ilvl="4" w:tplc="00030407" w:tentative="1">
      <w:start w:val="1"/>
      <w:numFmt w:val="bullet"/>
      <w:lvlText w:val="o"/>
      <w:lvlJc w:val="left"/>
      <w:pPr>
        <w:ind w:left="3600" w:hanging="360"/>
      </w:pPr>
      <w:rPr>
        <w:rFonts w:ascii="Courier New" w:hAnsi="Courier New" w:hint="default"/>
      </w:rPr>
    </w:lvl>
    <w:lvl w:ilvl="5" w:tplc="00050407" w:tentative="1">
      <w:start w:val="1"/>
      <w:numFmt w:val="bullet"/>
      <w:lvlText w:val=""/>
      <w:lvlJc w:val="left"/>
      <w:pPr>
        <w:ind w:left="4320" w:hanging="360"/>
      </w:pPr>
      <w:rPr>
        <w:rFonts w:ascii="Wingdings" w:hAnsi="Wingdings" w:hint="default"/>
      </w:rPr>
    </w:lvl>
    <w:lvl w:ilvl="6" w:tplc="00010407" w:tentative="1">
      <w:start w:val="1"/>
      <w:numFmt w:val="bullet"/>
      <w:lvlText w:val=""/>
      <w:lvlJc w:val="left"/>
      <w:pPr>
        <w:ind w:left="5040" w:hanging="360"/>
      </w:pPr>
      <w:rPr>
        <w:rFonts w:ascii="Symbol" w:hAnsi="Symbol" w:hint="default"/>
      </w:rPr>
    </w:lvl>
    <w:lvl w:ilvl="7" w:tplc="00030407" w:tentative="1">
      <w:start w:val="1"/>
      <w:numFmt w:val="bullet"/>
      <w:lvlText w:val="o"/>
      <w:lvlJc w:val="left"/>
      <w:pPr>
        <w:ind w:left="5760" w:hanging="360"/>
      </w:pPr>
      <w:rPr>
        <w:rFonts w:ascii="Courier New" w:hAnsi="Courier New" w:hint="default"/>
      </w:rPr>
    </w:lvl>
    <w:lvl w:ilvl="8" w:tplc="00050407" w:tentative="1">
      <w:start w:val="1"/>
      <w:numFmt w:val="bullet"/>
      <w:lvlText w:val=""/>
      <w:lvlJc w:val="left"/>
      <w:pPr>
        <w:ind w:left="6480" w:hanging="360"/>
      </w:pPr>
      <w:rPr>
        <w:rFonts w:ascii="Wingdings" w:hAnsi="Wingdings" w:hint="default"/>
      </w:rPr>
    </w:lvl>
  </w:abstractNum>
  <w:abstractNum w:abstractNumId="5" w15:restartNumberingAfterBreak="0">
    <w:nsid w:val="334464B7"/>
    <w:multiLevelType w:val="hybridMultilevel"/>
    <w:tmpl w:val="20D616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72A0BE0"/>
    <w:multiLevelType w:val="hybridMultilevel"/>
    <w:tmpl w:val="876A5198"/>
    <w:lvl w:ilvl="0" w:tplc="0407000B">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6F52D26"/>
    <w:multiLevelType w:val="hybridMultilevel"/>
    <w:tmpl w:val="39944370"/>
    <w:lvl w:ilvl="0" w:tplc="000F0407">
      <w:start w:val="2"/>
      <w:numFmt w:val="decimal"/>
      <w:lvlText w:val="%1."/>
      <w:lvlJc w:val="left"/>
      <w:pPr>
        <w:tabs>
          <w:tab w:val="num" w:pos="720"/>
        </w:tabs>
        <w:ind w:left="720" w:hanging="360"/>
      </w:pPr>
    </w:lvl>
    <w:lvl w:ilvl="1" w:tplc="00190407">
      <w:start w:val="1"/>
      <w:numFmt w:val="decimal"/>
      <w:lvlText w:val="%2."/>
      <w:lvlJc w:val="left"/>
      <w:pPr>
        <w:tabs>
          <w:tab w:val="num" w:pos="1440"/>
        </w:tabs>
        <w:ind w:left="1440" w:hanging="360"/>
      </w:pPr>
    </w:lvl>
    <w:lvl w:ilvl="2" w:tplc="001B0407">
      <w:start w:val="1"/>
      <w:numFmt w:val="decimal"/>
      <w:lvlText w:val="%3."/>
      <w:lvlJc w:val="left"/>
      <w:pPr>
        <w:tabs>
          <w:tab w:val="num" w:pos="2160"/>
        </w:tabs>
        <w:ind w:left="2160" w:hanging="360"/>
      </w:pPr>
    </w:lvl>
    <w:lvl w:ilvl="3" w:tplc="000F0407">
      <w:start w:val="1"/>
      <w:numFmt w:val="decimal"/>
      <w:lvlText w:val="%4."/>
      <w:lvlJc w:val="left"/>
      <w:pPr>
        <w:tabs>
          <w:tab w:val="num" w:pos="2880"/>
        </w:tabs>
        <w:ind w:left="2880" w:hanging="360"/>
      </w:pPr>
    </w:lvl>
    <w:lvl w:ilvl="4" w:tplc="00190407">
      <w:start w:val="1"/>
      <w:numFmt w:val="decimal"/>
      <w:lvlText w:val="%5."/>
      <w:lvlJc w:val="left"/>
      <w:pPr>
        <w:tabs>
          <w:tab w:val="num" w:pos="3600"/>
        </w:tabs>
        <w:ind w:left="3600" w:hanging="360"/>
      </w:pPr>
    </w:lvl>
    <w:lvl w:ilvl="5" w:tplc="001B0407">
      <w:start w:val="1"/>
      <w:numFmt w:val="decimal"/>
      <w:lvlText w:val="%6."/>
      <w:lvlJc w:val="left"/>
      <w:pPr>
        <w:tabs>
          <w:tab w:val="num" w:pos="4320"/>
        </w:tabs>
        <w:ind w:left="4320" w:hanging="360"/>
      </w:pPr>
    </w:lvl>
    <w:lvl w:ilvl="6" w:tplc="000F0407">
      <w:start w:val="1"/>
      <w:numFmt w:val="decimal"/>
      <w:lvlText w:val="%7."/>
      <w:lvlJc w:val="left"/>
      <w:pPr>
        <w:tabs>
          <w:tab w:val="num" w:pos="5040"/>
        </w:tabs>
        <w:ind w:left="5040" w:hanging="360"/>
      </w:pPr>
    </w:lvl>
    <w:lvl w:ilvl="7" w:tplc="00190407">
      <w:start w:val="1"/>
      <w:numFmt w:val="decimal"/>
      <w:lvlText w:val="%8."/>
      <w:lvlJc w:val="left"/>
      <w:pPr>
        <w:tabs>
          <w:tab w:val="num" w:pos="5760"/>
        </w:tabs>
        <w:ind w:left="5760" w:hanging="360"/>
      </w:pPr>
    </w:lvl>
    <w:lvl w:ilvl="8" w:tplc="001B0407">
      <w:start w:val="1"/>
      <w:numFmt w:val="decimal"/>
      <w:lvlText w:val="%9."/>
      <w:lvlJc w:val="left"/>
      <w:pPr>
        <w:tabs>
          <w:tab w:val="num" w:pos="6480"/>
        </w:tabs>
        <w:ind w:left="6480" w:hanging="360"/>
      </w:pPr>
    </w:lvl>
  </w:abstractNum>
  <w:abstractNum w:abstractNumId="8" w15:restartNumberingAfterBreak="0">
    <w:nsid w:val="61665BD9"/>
    <w:multiLevelType w:val="hybridMultilevel"/>
    <w:tmpl w:val="AFB89F3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9" w15:restartNumberingAfterBreak="0">
    <w:nsid w:val="6D8141C3"/>
    <w:multiLevelType w:val="hybridMultilevel"/>
    <w:tmpl w:val="11704CC2"/>
    <w:lvl w:ilvl="0" w:tplc="8272DD36">
      <w:start w:val="1"/>
      <w:numFmt w:val="decimal"/>
      <w:lvlText w:val="%1)"/>
      <w:lvlJc w:val="left"/>
      <w:pPr>
        <w:ind w:left="786" w:hanging="360"/>
      </w:pPr>
      <w:rPr>
        <w:rFonts w:hint="default"/>
      </w:r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num w:numId="1">
    <w:abstractNumId w:val="4"/>
  </w:num>
  <w:num w:numId="2">
    <w:abstractNumId w:val="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1"/>
  </w:num>
  <w:num w:numId="7">
    <w:abstractNumId w:val="9"/>
  </w:num>
  <w:num w:numId="8">
    <w:abstractNumId w:val="5"/>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2"/>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156"/>
    <w:rsid w:val="00081564"/>
    <w:rsid w:val="000926A4"/>
    <w:rsid w:val="00096326"/>
    <w:rsid w:val="000E31AC"/>
    <w:rsid w:val="00102A96"/>
    <w:rsid w:val="00166311"/>
    <w:rsid w:val="00171F6C"/>
    <w:rsid w:val="00195156"/>
    <w:rsid w:val="001D7510"/>
    <w:rsid w:val="00206AC3"/>
    <w:rsid w:val="002251F2"/>
    <w:rsid w:val="00230FD4"/>
    <w:rsid w:val="002525DD"/>
    <w:rsid w:val="00295D14"/>
    <w:rsid w:val="002C602E"/>
    <w:rsid w:val="00314A9C"/>
    <w:rsid w:val="00340130"/>
    <w:rsid w:val="00344FA0"/>
    <w:rsid w:val="003D6BCC"/>
    <w:rsid w:val="003E60DF"/>
    <w:rsid w:val="003E7273"/>
    <w:rsid w:val="00494A8F"/>
    <w:rsid w:val="004E1FC7"/>
    <w:rsid w:val="00513192"/>
    <w:rsid w:val="00513A38"/>
    <w:rsid w:val="00515440"/>
    <w:rsid w:val="00525FBE"/>
    <w:rsid w:val="00533371"/>
    <w:rsid w:val="0058310C"/>
    <w:rsid w:val="005F04F1"/>
    <w:rsid w:val="0065356A"/>
    <w:rsid w:val="006C4990"/>
    <w:rsid w:val="007366F2"/>
    <w:rsid w:val="00763A96"/>
    <w:rsid w:val="00794386"/>
    <w:rsid w:val="007979EB"/>
    <w:rsid w:val="007A654B"/>
    <w:rsid w:val="00816B57"/>
    <w:rsid w:val="00821FB2"/>
    <w:rsid w:val="00854D62"/>
    <w:rsid w:val="008649C6"/>
    <w:rsid w:val="00872A91"/>
    <w:rsid w:val="008801FE"/>
    <w:rsid w:val="0088202B"/>
    <w:rsid w:val="00886861"/>
    <w:rsid w:val="0089521C"/>
    <w:rsid w:val="008A1393"/>
    <w:rsid w:val="008F07ED"/>
    <w:rsid w:val="0098650C"/>
    <w:rsid w:val="009A6FAF"/>
    <w:rsid w:val="009B3E5B"/>
    <w:rsid w:val="009B54CC"/>
    <w:rsid w:val="009D0C2D"/>
    <w:rsid w:val="009D24E1"/>
    <w:rsid w:val="00A05E5F"/>
    <w:rsid w:val="00A10F5B"/>
    <w:rsid w:val="00A702A2"/>
    <w:rsid w:val="00A873EE"/>
    <w:rsid w:val="00A87657"/>
    <w:rsid w:val="00AD3FCC"/>
    <w:rsid w:val="00AF6D09"/>
    <w:rsid w:val="00B6350B"/>
    <w:rsid w:val="00B93521"/>
    <w:rsid w:val="00BA6160"/>
    <w:rsid w:val="00BF1E56"/>
    <w:rsid w:val="00C13400"/>
    <w:rsid w:val="00C31302"/>
    <w:rsid w:val="00C364E5"/>
    <w:rsid w:val="00C724F8"/>
    <w:rsid w:val="00C9733F"/>
    <w:rsid w:val="00CB38F4"/>
    <w:rsid w:val="00CD69B8"/>
    <w:rsid w:val="00D059FC"/>
    <w:rsid w:val="00D303A0"/>
    <w:rsid w:val="00D5787B"/>
    <w:rsid w:val="00D67F8D"/>
    <w:rsid w:val="00D9730B"/>
    <w:rsid w:val="00DD1A62"/>
    <w:rsid w:val="00DE0F27"/>
    <w:rsid w:val="00DF738D"/>
    <w:rsid w:val="00E045A6"/>
    <w:rsid w:val="00E05D38"/>
    <w:rsid w:val="00EB3B9E"/>
    <w:rsid w:val="00F04088"/>
    <w:rsid w:val="00F50B60"/>
    <w:rsid w:val="00F57337"/>
    <w:rsid w:val="00F77D32"/>
    <w:rsid w:val="00FA3562"/>
    <w:rsid w:val="00FF6574"/>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4AD7D801"/>
  <w15:chartTrackingRefBased/>
  <w15:docId w15:val="{0FE40DB1-0AF2-4D0B-BE68-5DCCA71E4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Fließtext ohne Einzug"/>
    <w:qFormat/>
    <w:rsid w:val="006C4990"/>
    <w:pPr>
      <w:spacing w:after="200" w:line="240" w:lineRule="exact"/>
    </w:pPr>
    <w:rPr>
      <w:rFonts w:ascii="Tahoma" w:eastAsia="Times New Roman" w:hAnsi="Tahoma"/>
      <w:szCs w:val="24"/>
    </w:rPr>
  </w:style>
  <w:style w:type="paragraph" w:styleId="berschrift1">
    <w:name w:val="heading 1"/>
    <w:basedOn w:val="Standard"/>
    <w:next w:val="Standard"/>
    <w:link w:val="berschrift1Zchn"/>
    <w:qFormat/>
    <w:locked/>
    <w:rsid w:val="006C4990"/>
    <w:pPr>
      <w:keepNext/>
      <w:overflowPunct w:val="0"/>
      <w:autoSpaceDE w:val="0"/>
      <w:autoSpaceDN w:val="0"/>
      <w:adjustRightInd w:val="0"/>
      <w:spacing w:before="280" w:after="240"/>
      <w:jc w:val="both"/>
      <w:outlineLvl w:val="0"/>
    </w:pPr>
    <w:rPr>
      <w:b/>
      <w:bCs/>
      <w:kern w:val="32"/>
      <w:sz w:val="24"/>
      <w:szCs w:val="32"/>
      <w:lang w:val="x-none" w:eastAsia="x-none"/>
    </w:rPr>
  </w:style>
  <w:style w:type="paragraph" w:styleId="berschrift2">
    <w:name w:val="heading 2"/>
    <w:basedOn w:val="Standard"/>
    <w:next w:val="Standard"/>
    <w:link w:val="berschrift2Zchn"/>
    <w:qFormat/>
    <w:locked/>
    <w:rsid w:val="00C3002D"/>
    <w:pPr>
      <w:keepNext/>
      <w:tabs>
        <w:tab w:val="left" w:pos="3686"/>
      </w:tabs>
      <w:overflowPunct w:val="0"/>
      <w:autoSpaceDE w:val="0"/>
      <w:autoSpaceDN w:val="0"/>
      <w:adjustRightInd w:val="0"/>
      <w:spacing w:line="360" w:lineRule="auto"/>
      <w:ind w:left="567" w:hanging="567"/>
      <w:jc w:val="both"/>
      <w:outlineLvl w:val="1"/>
    </w:pPr>
    <w:rPr>
      <w:rFonts w:ascii="Arial" w:hAnsi="Arial"/>
      <w:szCs w:val="20"/>
      <w:u w:val="single"/>
      <w:lang w:val="x-none" w:eastAsia="x-none"/>
    </w:rPr>
  </w:style>
  <w:style w:type="paragraph" w:styleId="berschrift4">
    <w:name w:val="heading 4"/>
    <w:basedOn w:val="Standard"/>
    <w:next w:val="Standard"/>
    <w:link w:val="berschrift4Zchn"/>
    <w:uiPriority w:val="9"/>
    <w:semiHidden/>
    <w:unhideWhenUsed/>
    <w:qFormat/>
    <w:rsid w:val="00C9733F"/>
    <w:pPr>
      <w:keepNext/>
      <w:spacing w:before="240" w:after="60"/>
      <w:outlineLvl w:val="3"/>
    </w:pPr>
    <w:rPr>
      <w:rFonts w:ascii="Calibri" w:hAnsi="Calibri"/>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uiPriority w:val="99"/>
    <w:semiHidden/>
    <w:rsid w:val="00A23E12"/>
  </w:style>
  <w:style w:type="paragraph" w:customStyle="1" w:styleId="Hausarbeit7hFunote">
    <w:name w:val="Hausarbeit 7h Fußnote"/>
    <w:basedOn w:val="Funotentext"/>
    <w:uiPriority w:val="99"/>
    <w:rsid w:val="00A23E12"/>
    <w:rPr>
      <w:rFonts w:ascii="Arial" w:hAnsi="Arial"/>
      <w:sz w:val="22"/>
    </w:rPr>
  </w:style>
  <w:style w:type="paragraph" w:styleId="Funotentext">
    <w:name w:val="footnote text"/>
    <w:basedOn w:val="Standard"/>
    <w:link w:val="FunotentextZchn"/>
    <w:uiPriority w:val="99"/>
    <w:semiHidden/>
    <w:rsid w:val="00A23E12"/>
    <w:rPr>
      <w:szCs w:val="20"/>
      <w:lang w:val="x-none" w:eastAsia="x-none"/>
    </w:rPr>
  </w:style>
  <w:style w:type="character" w:customStyle="1" w:styleId="FunotentextZchn">
    <w:name w:val="Fußnotentext Zchn"/>
    <w:link w:val="Funotentext"/>
    <w:uiPriority w:val="99"/>
    <w:semiHidden/>
    <w:rsid w:val="00DE54FC"/>
    <w:rPr>
      <w:rFonts w:ascii="Verdana" w:eastAsia="Times New Roman" w:hAnsi="Verdana"/>
      <w:sz w:val="20"/>
      <w:szCs w:val="20"/>
    </w:rPr>
  </w:style>
  <w:style w:type="paragraph" w:styleId="Kopfzeile">
    <w:name w:val="header"/>
    <w:basedOn w:val="Standard"/>
    <w:link w:val="KopfzeileZchn"/>
    <w:uiPriority w:val="99"/>
    <w:rsid w:val="00BA0F2C"/>
    <w:pPr>
      <w:tabs>
        <w:tab w:val="center" w:pos="4536"/>
        <w:tab w:val="right" w:pos="9072"/>
      </w:tabs>
    </w:pPr>
    <w:rPr>
      <w:rFonts w:eastAsia="Cambria"/>
      <w:sz w:val="24"/>
      <w:lang w:val="x-none"/>
    </w:rPr>
  </w:style>
  <w:style w:type="character" w:customStyle="1" w:styleId="KopfzeileZchn">
    <w:name w:val="Kopfzeile Zchn"/>
    <w:link w:val="Kopfzeile"/>
    <w:uiPriority w:val="99"/>
    <w:locked/>
    <w:rsid w:val="00BA0F2C"/>
    <w:rPr>
      <w:rFonts w:ascii="Verdana" w:hAnsi="Verdana" w:cs="Times New Roman"/>
      <w:sz w:val="24"/>
      <w:szCs w:val="24"/>
      <w:lang w:eastAsia="de-DE"/>
    </w:rPr>
  </w:style>
  <w:style w:type="paragraph" w:customStyle="1" w:styleId="MittleresRaster1-Akzent21">
    <w:name w:val="Mittleres Raster 1 - Akzent 21"/>
    <w:basedOn w:val="Standard"/>
    <w:uiPriority w:val="99"/>
    <w:qFormat/>
    <w:rsid w:val="00BA0F2C"/>
    <w:pPr>
      <w:spacing w:line="240" w:lineRule="auto"/>
      <w:ind w:left="708"/>
    </w:pPr>
    <w:rPr>
      <w:rFonts w:ascii="Times New Roman" w:hAnsi="Times New Roman"/>
      <w:sz w:val="24"/>
    </w:rPr>
  </w:style>
  <w:style w:type="paragraph" w:styleId="Sprechblasentext">
    <w:name w:val="Balloon Text"/>
    <w:basedOn w:val="Standard"/>
    <w:link w:val="SprechblasentextZchn"/>
    <w:uiPriority w:val="99"/>
    <w:semiHidden/>
    <w:rsid w:val="00F36C95"/>
    <w:pPr>
      <w:spacing w:line="240" w:lineRule="auto"/>
    </w:pPr>
    <w:rPr>
      <w:rFonts w:ascii="Lucida Grande" w:eastAsia="Cambria" w:hAnsi="Lucida Grande"/>
      <w:sz w:val="18"/>
      <w:szCs w:val="18"/>
      <w:lang w:val="x-none"/>
    </w:rPr>
  </w:style>
  <w:style w:type="character" w:customStyle="1" w:styleId="SprechblasentextZchn">
    <w:name w:val="Sprechblasentext Zchn"/>
    <w:link w:val="Sprechblasentext"/>
    <w:uiPriority w:val="99"/>
    <w:semiHidden/>
    <w:locked/>
    <w:rsid w:val="00F36C95"/>
    <w:rPr>
      <w:rFonts w:ascii="Lucida Grande" w:hAnsi="Lucida Grande" w:cs="Times New Roman"/>
      <w:sz w:val="18"/>
      <w:szCs w:val="18"/>
      <w:lang w:eastAsia="de-DE"/>
    </w:rPr>
  </w:style>
  <w:style w:type="paragraph" w:styleId="Fuzeile">
    <w:name w:val="footer"/>
    <w:basedOn w:val="Standard"/>
    <w:link w:val="FuzeileZchn"/>
    <w:uiPriority w:val="99"/>
    <w:rsid w:val="00044B0A"/>
    <w:pPr>
      <w:tabs>
        <w:tab w:val="center" w:pos="4536"/>
        <w:tab w:val="right" w:pos="9072"/>
      </w:tabs>
      <w:spacing w:line="240" w:lineRule="auto"/>
    </w:pPr>
    <w:rPr>
      <w:rFonts w:eastAsia="Cambria"/>
      <w:sz w:val="24"/>
      <w:lang w:val="x-none"/>
    </w:rPr>
  </w:style>
  <w:style w:type="character" w:customStyle="1" w:styleId="FuzeileZchn">
    <w:name w:val="Fußzeile Zchn"/>
    <w:link w:val="Fuzeile"/>
    <w:uiPriority w:val="99"/>
    <w:locked/>
    <w:rsid w:val="00044B0A"/>
    <w:rPr>
      <w:rFonts w:ascii="Verdana" w:hAnsi="Verdana" w:cs="Times New Roman"/>
      <w:sz w:val="24"/>
      <w:szCs w:val="24"/>
      <w:lang w:eastAsia="de-DE"/>
    </w:rPr>
  </w:style>
  <w:style w:type="character" w:styleId="Hyperlink">
    <w:name w:val="Hyperlink"/>
    <w:uiPriority w:val="99"/>
    <w:rsid w:val="00BE45A3"/>
    <w:rPr>
      <w:rFonts w:cs="Times New Roman"/>
      <w:color w:val="0000FF"/>
      <w:u w:val="single"/>
    </w:rPr>
  </w:style>
  <w:style w:type="paragraph" w:styleId="NurText">
    <w:name w:val="Plain Text"/>
    <w:basedOn w:val="Standard"/>
    <w:link w:val="NurTextZchn"/>
    <w:uiPriority w:val="99"/>
    <w:semiHidden/>
    <w:rsid w:val="005179DC"/>
    <w:pPr>
      <w:spacing w:line="240" w:lineRule="auto"/>
    </w:pPr>
    <w:rPr>
      <w:rFonts w:ascii="Consolas" w:eastAsia="Cambria" w:hAnsi="Consolas"/>
      <w:sz w:val="21"/>
      <w:szCs w:val="21"/>
      <w:lang w:val="x-none" w:eastAsia="x-none"/>
    </w:rPr>
  </w:style>
  <w:style w:type="character" w:customStyle="1" w:styleId="NurTextZchn">
    <w:name w:val="Nur Text Zchn"/>
    <w:link w:val="NurText"/>
    <w:uiPriority w:val="99"/>
    <w:semiHidden/>
    <w:locked/>
    <w:rsid w:val="005179DC"/>
    <w:rPr>
      <w:rFonts w:ascii="Consolas" w:hAnsi="Consolas" w:cs="Times New Roman"/>
      <w:sz w:val="21"/>
      <w:szCs w:val="21"/>
    </w:rPr>
  </w:style>
  <w:style w:type="character" w:customStyle="1" w:styleId="berschrift1Zchn">
    <w:name w:val="Überschrift 1 Zchn"/>
    <w:link w:val="berschrift1"/>
    <w:rsid w:val="006C4990"/>
    <w:rPr>
      <w:rFonts w:ascii="Tahoma" w:eastAsia="Times New Roman" w:hAnsi="Tahoma"/>
      <w:b/>
      <w:bCs/>
      <w:kern w:val="32"/>
      <w:sz w:val="24"/>
      <w:szCs w:val="32"/>
      <w:lang w:val="x-none" w:eastAsia="x-none"/>
    </w:rPr>
  </w:style>
  <w:style w:type="character" w:customStyle="1" w:styleId="berschrift2Zchn">
    <w:name w:val="Überschrift 2 Zchn"/>
    <w:link w:val="berschrift2"/>
    <w:semiHidden/>
    <w:rsid w:val="00C3002D"/>
    <w:rPr>
      <w:rFonts w:ascii="Arial" w:eastAsia="Times New Roman" w:hAnsi="Arial" w:cs="Arial"/>
      <w:sz w:val="20"/>
      <w:szCs w:val="20"/>
      <w:u w:val="single"/>
    </w:rPr>
  </w:style>
  <w:style w:type="paragraph" w:customStyle="1" w:styleId="Einzug1">
    <w:name w:val="Einzug1"/>
    <w:rsid w:val="00C3002D"/>
    <w:pPr>
      <w:tabs>
        <w:tab w:val="left" w:pos="500"/>
      </w:tabs>
      <w:ind w:left="500" w:hanging="500"/>
    </w:pPr>
    <w:rPr>
      <w:rFonts w:ascii="Times New Roman" w:eastAsia="Times New Roman" w:hAnsi="Times New Roman"/>
    </w:rPr>
  </w:style>
  <w:style w:type="paragraph" w:customStyle="1" w:styleId="EinzugV1">
    <w:name w:val="EinzugV1"/>
    <w:rsid w:val="00C3002D"/>
    <w:pPr>
      <w:tabs>
        <w:tab w:val="left" w:pos="500"/>
      </w:tabs>
      <w:spacing w:before="120"/>
      <w:ind w:left="500" w:hanging="500"/>
    </w:pPr>
    <w:rPr>
      <w:rFonts w:ascii="Times New Roman" w:eastAsia="Times New Roman" w:hAnsi="Times New Roman"/>
    </w:rPr>
  </w:style>
  <w:style w:type="character" w:customStyle="1" w:styleId="postbody">
    <w:name w:val="postbody"/>
    <w:rsid w:val="005046BF"/>
  </w:style>
  <w:style w:type="character" w:customStyle="1" w:styleId="berschrift4Zchn">
    <w:name w:val="Überschrift 4 Zchn"/>
    <w:link w:val="berschrift4"/>
    <w:uiPriority w:val="9"/>
    <w:semiHidden/>
    <w:rsid w:val="00C9733F"/>
    <w:rPr>
      <w:rFonts w:ascii="Calibri" w:eastAsia="Times New Roman" w:hAnsi="Calibri" w:cs="Times New Roman"/>
      <w:b/>
      <w:bCs/>
      <w:sz w:val="28"/>
      <w:szCs w:val="28"/>
    </w:rPr>
  </w:style>
  <w:style w:type="table" w:styleId="Tabellenraster">
    <w:name w:val="Table Grid"/>
    <w:basedOn w:val="NormaleTabelle"/>
    <w:uiPriority w:val="59"/>
    <w:rsid w:val="00C9733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C4990"/>
    <w:pPr>
      <w:ind w:left="720"/>
    </w:pPr>
    <w:rPr>
      <w:rFonts w:eastAsia="Calibri"/>
      <w:szCs w:val="22"/>
      <w:lang w:eastAsia="en-US"/>
    </w:rPr>
  </w:style>
  <w:style w:type="character" w:styleId="Seitenzahl">
    <w:name w:val="page number"/>
    <w:uiPriority w:val="99"/>
    <w:unhideWhenUsed/>
    <w:rsid w:val="009D0C2D"/>
  </w:style>
  <w:style w:type="character" w:styleId="BesuchterLink">
    <w:name w:val="FollowedHyperlink"/>
    <w:basedOn w:val="Absatz-Standardschriftart"/>
    <w:uiPriority w:val="99"/>
    <w:semiHidden/>
    <w:unhideWhenUsed/>
    <w:rsid w:val="00F57337"/>
    <w:rPr>
      <w:color w:val="954F72" w:themeColor="followedHyperlink"/>
      <w:u w:val="single"/>
    </w:rPr>
  </w:style>
  <w:style w:type="character" w:styleId="Kommentarzeichen">
    <w:name w:val="annotation reference"/>
    <w:basedOn w:val="Absatz-Standardschriftart"/>
    <w:uiPriority w:val="99"/>
    <w:semiHidden/>
    <w:unhideWhenUsed/>
    <w:rsid w:val="003E7273"/>
    <w:rPr>
      <w:sz w:val="16"/>
      <w:szCs w:val="16"/>
    </w:rPr>
  </w:style>
  <w:style w:type="paragraph" w:styleId="Kommentartext">
    <w:name w:val="annotation text"/>
    <w:basedOn w:val="Standard"/>
    <w:link w:val="KommentartextZchn"/>
    <w:uiPriority w:val="99"/>
    <w:semiHidden/>
    <w:unhideWhenUsed/>
    <w:rsid w:val="003E7273"/>
    <w:pPr>
      <w:spacing w:line="240" w:lineRule="auto"/>
    </w:pPr>
    <w:rPr>
      <w:szCs w:val="20"/>
    </w:rPr>
  </w:style>
  <w:style w:type="character" w:customStyle="1" w:styleId="KommentartextZchn">
    <w:name w:val="Kommentartext Zchn"/>
    <w:basedOn w:val="Absatz-Standardschriftart"/>
    <w:link w:val="Kommentartext"/>
    <w:uiPriority w:val="99"/>
    <w:semiHidden/>
    <w:rsid w:val="003E7273"/>
    <w:rPr>
      <w:rFonts w:ascii="Verdana" w:eastAsia="Times New Roman" w:hAnsi="Verdana"/>
    </w:rPr>
  </w:style>
  <w:style w:type="paragraph" w:styleId="Kommentarthema">
    <w:name w:val="annotation subject"/>
    <w:basedOn w:val="Kommentartext"/>
    <w:next w:val="Kommentartext"/>
    <w:link w:val="KommentarthemaZchn"/>
    <w:uiPriority w:val="99"/>
    <w:semiHidden/>
    <w:unhideWhenUsed/>
    <w:rsid w:val="003E7273"/>
    <w:rPr>
      <w:b/>
      <w:bCs/>
    </w:rPr>
  </w:style>
  <w:style w:type="character" w:customStyle="1" w:styleId="KommentarthemaZchn">
    <w:name w:val="Kommentarthema Zchn"/>
    <w:basedOn w:val="KommentartextZchn"/>
    <w:link w:val="Kommentarthema"/>
    <w:uiPriority w:val="99"/>
    <w:semiHidden/>
    <w:rsid w:val="003E7273"/>
    <w:rPr>
      <w:rFonts w:ascii="Verdana" w:eastAsia="Times New Roman" w:hAnsi="Verdana"/>
      <w:b/>
      <w:bCs/>
    </w:rPr>
  </w:style>
  <w:style w:type="character" w:customStyle="1" w:styleId="NichtaufgelsteErwhnung1">
    <w:name w:val="Nicht aufgelöste Erwähnung1"/>
    <w:basedOn w:val="Absatz-Standardschriftart"/>
    <w:uiPriority w:val="99"/>
    <w:semiHidden/>
    <w:unhideWhenUsed/>
    <w:rsid w:val="003E7273"/>
    <w:rPr>
      <w:color w:val="605E5C"/>
      <w:shd w:val="clear" w:color="auto" w:fill="E1DFDD"/>
    </w:rPr>
  </w:style>
  <w:style w:type="paragraph" w:styleId="StandardWeb">
    <w:name w:val="Normal (Web)"/>
    <w:basedOn w:val="Standard"/>
    <w:uiPriority w:val="99"/>
    <w:unhideWhenUsed/>
    <w:rsid w:val="00230FD4"/>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8478194">
      <w:bodyDiv w:val="1"/>
      <w:marLeft w:val="0"/>
      <w:marRight w:val="0"/>
      <w:marTop w:val="0"/>
      <w:marBottom w:val="0"/>
      <w:divBdr>
        <w:top w:val="none" w:sz="0" w:space="0" w:color="auto"/>
        <w:left w:val="none" w:sz="0" w:space="0" w:color="auto"/>
        <w:bottom w:val="none" w:sz="0" w:space="0" w:color="auto"/>
        <w:right w:val="none" w:sz="0" w:space="0" w:color="auto"/>
      </w:divBdr>
    </w:div>
    <w:div w:id="496461459">
      <w:marLeft w:val="0"/>
      <w:marRight w:val="0"/>
      <w:marTop w:val="0"/>
      <w:marBottom w:val="0"/>
      <w:divBdr>
        <w:top w:val="none" w:sz="0" w:space="0" w:color="auto"/>
        <w:left w:val="none" w:sz="0" w:space="0" w:color="auto"/>
        <w:bottom w:val="none" w:sz="0" w:space="0" w:color="auto"/>
        <w:right w:val="none" w:sz="0" w:space="0" w:color="auto"/>
      </w:divBdr>
    </w:div>
    <w:div w:id="496461460">
      <w:marLeft w:val="0"/>
      <w:marRight w:val="0"/>
      <w:marTop w:val="0"/>
      <w:marBottom w:val="0"/>
      <w:divBdr>
        <w:top w:val="none" w:sz="0" w:space="0" w:color="auto"/>
        <w:left w:val="none" w:sz="0" w:space="0" w:color="auto"/>
        <w:bottom w:val="none" w:sz="0" w:space="0" w:color="auto"/>
        <w:right w:val="none" w:sz="0" w:space="0" w:color="auto"/>
      </w:divBdr>
    </w:div>
    <w:div w:id="1222399791">
      <w:bodyDiv w:val="1"/>
      <w:marLeft w:val="0"/>
      <w:marRight w:val="0"/>
      <w:marTop w:val="0"/>
      <w:marBottom w:val="0"/>
      <w:divBdr>
        <w:top w:val="none" w:sz="0" w:space="0" w:color="auto"/>
        <w:left w:val="none" w:sz="0" w:space="0" w:color="auto"/>
        <w:bottom w:val="none" w:sz="0" w:space="0" w:color="auto"/>
        <w:right w:val="none" w:sz="0" w:space="0" w:color="auto"/>
      </w:divBdr>
    </w:div>
    <w:div w:id="12727377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943</Words>
  <Characters>6636</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Cornelia Schu</dc:creator>
  <cp:keywords/>
  <dc:description/>
  <cp:lastModifiedBy>Margret Karsch</cp:lastModifiedBy>
  <cp:revision>3</cp:revision>
  <cp:lastPrinted>2020-12-03T13:22:00Z</cp:lastPrinted>
  <dcterms:created xsi:type="dcterms:W3CDTF">2020-12-15T09:40:00Z</dcterms:created>
  <dcterms:modified xsi:type="dcterms:W3CDTF">2020-12-15T09:41:00Z</dcterms:modified>
</cp:coreProperties>
</file>